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D4" w:rsidRPr="006C6DCC" w:rsidRDefault="00520770" w:rsidP="000B35E8">
      <w:pPr>
        <w:pStyle w:val="Title"/>
        <w:rPr>
          <w:b/>
          <w:lang w:val="en-US"/>
        </w:rPr>
      </w:pPr>
      <w:bookmarkStart w:id="0" w:name="_GoBack"/>
      <w:bookmarkEnd w:id="0"/>
      <w:r w:rsidRPr="006C6DCC">
        <w:rPr>
          <w:b/>
          <w:lang w:val="en-US"/>
        </w:rPr>
        <w:t>Methods</w:t>
      </w:r>
    </w:p>
    <w:p w:rsidR="003E4DE6" w:rsidRPr="003E4DE6" w:rsidRDefault="003E4DE6" w:rsidP="003E4DE6">
      <w:pPr>
        <w:rPr>
          <w:sz w:val="18"/>
          <w:lang w:val="en-US"/>
        </w:rPr>
      </w:pPr>
      <w:r w:rsidRPr="003E4DE6">
        <w:rPr>
          <w:rFonts w:ascii="Arial" w:hAnsi="Arial" w:cs="Arial"/>
          <w:b/>
          <w:sz w:val="20"/>
          <w:szCs w:val="24"/>
          <w:lang w:val="en-US"/>
        </w:rPr>
        <w:t>according to the ARRIVE Guidelines (</w:t>
      </w:r>
      <w:hyperlink r:id="rId7" w:history="1">
        <w:r w:rsidR="006C6DCC" w:rsidRPr="00940DDE">
          <w:rPr>
            <w:rStyle w:val="Hyperlink"/>
            <w:rFonts w:ascii="Arial" w:hAnsi="Arial" w:cs="Arial"/>
            <w:sz w:val="20"/>
            <w:szCs w:val="24"/>
            <w:lang w:val="en-US"/>
          </w:rPr>
          <w:t>https://doi.org/10.1371/journal.pbio.1000412</w:t>
        </w:r>
      </w:hyperlink>
      <w:r w:rsidRPr="003E4DE6">
        <w:rPr>
          <w:rFonts w:ascii="Arial" w:hAnsi="Arial" w:cs="Arial"/>
          <w:b/>
          <w:sz w:val="20"/>
          <w:szCs w:val="24"/>
          <w:lang w:val="en-US"/>
        </w:rPr>
        <w:t>)</w:t>
      </w:r>
      <w:r w:rsidR="006C6DCC">
        <w:rPr>
          <w:rFonts w:ascii="Arial" w:hAnsi="Arial" w:cs="Arial"/>
          <w:b/>
          <w:sz w:val="20"/>
          <w:szCs w:val="24"/>
          <w:lang w:val="en-US"/>
        </w:rPr>
        <w:t xml:space="preserve"> </w:t>
      </w:r>
    </w:p>
    <w:p w:rsidR="005712D4" w:rsidRPr="00520770" w:rsidRDefault="005712D4" w:rsidP="005712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3E4DE6" w:rsidRPr="003E4DE6" w:rsidTr="003E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Ethical statement</w:t>
            </w:r>
          </w:p>
        </w:tc>
        <w:tc>
          <w:tcPr>
            <w:tcW w:w="7371" w:type="dxa"/>
          </w:tcPr>
          <w:p w:rsidR="006C6DCC" w:rsidRDefault="006C6DCC" w:rsidP="005712D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  <w:p w:rsidR="00CC18BD" w:rsidRPr="006C6DCC" w:rsidRDefault="00CC18BD" w:rsidP="005712D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</w:pPr>
            <w:r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>DELETE THE PREFILLED TEXT IN THIS COLUMN,</w:t>
            </w:r>
            <w:r w:rsidR="006C6DCC"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 xml:space="preserve"> AND DESCRIBE </w:t>
            </w:r>
            <w:r w:rsid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 xml:space="preserve">ALL THE </w:t>
            </w:r>
            <w:r w:rsidR="006C6DCC"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>STUDY</w:t>
            </w:r>
            <w:r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 xml:space="preserve"> METHODS ACCORDING TO THE </w:t>
            </w:r>
            <w:r w:rsidR="006C6DCC"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 xml:space="preserve">ARRIVE GUIDELINES (ITEMS IN </w:t>
            </w:r>
            <w:r w:rsid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 xml:space="preserve">THE </w:t>
            </w:r>
            <w:r w:rsidR="006C6DCC"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>TEXT</w:t>
            </w:r>
            <w:r w:rsid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 xml:space="preserve"> BELOW</w:t>
            </w:r>
            <w:r w:rsidR="006C6DCC" w:rsidRPr="006C6DCC">
              <w:rPr>
                <w:rFonts w:cstheme="minorHAnsi"/>
                <w:b w:val="0"/>
                <w:color w:val="FF0000"/>
                <w:sz w:val="20"/>
                <w:szCs w:val="20"/>
                <w:lang w:val="en-US"/>
              </w:rPr>
              <w:t>)</w:t>
            </w:r>
          </w:p>
          <w:p w:rsidR="00CC18BD" w:rsidRDefault="00CC18BD" w:rsidP="005712D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  <w:p w:rsidR="003E4DE6" w:rsidRPr="003E4DE6" w:rsidRDefault="003E4DE6" w:rsidP="005712D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Indicate the nature of the ethical review permissions, relevant </w:t>
            </w:r>
            <w:proofErr w:type="spellStart"/>
            <w:r w:rsidRPr="003E4DE6">
              <w:rPr>
                <w:rFonts w:cstheme="minorHAnsi"/>
                <w:b w:val="0"/>
                <w:sz w:val="20"/>
                <w:szCs w:val="20"/>
                <w:lang w:val="en-US"/>
              </w:rPr>
              <w:t>licences</w:t>
            </w:r>
            <w:proofErr w:type="spellEnd"/>
            <w:r w:rsidRPr="003E4DE6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(e.g. Animal [Scientific Procedures] Act 1986), and national or institutional guidelines for the care and use of animals, that cover the research.</w:t>
            </w:r>
          </w:p>
        </w:tc>
      </w:tr>
      <w:tr w:rsidR="003E4DE6" w:rsidRPr="003E4DE6" w:rsidTr="003E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7371" w:type="dxa"/>
          </w:tcPr>
          <w:p w:rsidR="003E4DE6" w:rsidRPr="000B35E8" w:rsidRDefault="003E4DE6" w:rsidP="00E23E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For each experiment, give brief details of the study design, including: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The number of experimental and control groups.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Any steps taken to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minimise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 the effects of subjective bias when allocating animals to treatment (e.g.,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randomisation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 procedure) and when assessing results (e.g., if done, describe who was blinded and when).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The experimental unit (e.g. a single animal, group, or cage of animals).</w:t>
            </w:r>
          </w:p>
          <w:p w:rsidR="003E4DE6" w:rsidRPr="000B35E8" w:rsidRDefault="003E4DE6" w:rsidP="000B35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A time-line diagram or flow chart can be useful to illustrate how complex study designs were carried out.</w:t>
            </w:r>
          </w:p>
        </w:tc>
      </w:tr>
      <w:tr w:rsidR="003E4DE6" w:rsidRPr="003E4DE6" w:rsidTr="003E4D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Experimental procedures</w:t>
            </w:r>
          </w:p>
        </w:tc>
        <w:tc>
          <w:tcPr>
            <w:tcW w:w="7371" w:type="dxa"/>
          </w:tcPr>
          <w:p w:rsidR="003E4DE6" w:rsidRPr="000B35E8" w:rsidRDefault="003E4DE6" w:rsidP="00E23E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For each experiment and each experimental group, including controls, provide precise details of all</w:t>
            </w:r>
          </w:p>
          <w:p w:rsidR="003E4DE6" w:rsidRPr="000B35E8" w:rsidRDefault="003E4DE6" w:rsidP="00E23E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procedures carried out. For example: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How (e.g., drug formulation and dose, site and route of administration,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anaesthesia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 and analgesia used [including monitoring], surgical procedure, method of euthanasia). Provide details of any specialist equipment used, including supplier(s).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When (e.g., time of day).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Where (e.g., home cage, laboratory, water maze).</w:t>
            </w:r>
          </w:p>
          <w:p w:rsidR="003E4DE6" w:rsidRPr="000B35E8" w:rsidRDefault="003E4DE6" w:rsidP="005712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Why (e.g., rationale for choice of specific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anaesthetic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>, route of administration, drug dose used).</w:t>
            </w:r>
          </w:p>
        </w:tc>
      </w:tr>
      <w:tr w:rsidR="003E4DE6" w:rsidRPr="003E4DE6" w:rsidTr="003E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Experimental animals</w:t>
            </w:r>
          </w:p>
        </w:tc>
        <w:tc>
          <w:tcPr>
            <w:tcW w:w="7371" w:type="dxa"/>
          </w:tcPr>
          <w:p w:rsidR="003E4DE6" w:rsidRPr="000B35E8" w:rsidRDefault="003E4DE6" w:rsidP="00A1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Provide details of the animals used, including species, strain, sex, developmental stage (e.g., mean or median age plus age range), and weight (e.g., mean or median weight plus weight range).</w:t>
            </w:r>
          </w:p>
          <w:p w:rsidR="003E4DE6" w:rsidRPr="000B35E8" w:rsidRDefault="003E4DE6" w:rsidP="000B35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Provide further relevant information such as the source of animals, international strain nomenclature, genetic modification status (e.g. knock-out or transgenic), genotype, health/immune status, drug- or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testnaïve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>, previous procedures, etc.</w:t>
            </w:r>
          </w:p>
        </w:tc>
      </w:tr>
      <w:tr w:rsidR="003E4DE6" w:rsidRPr="003E4DE6" w:rsidTr="003E4D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Housing and husbandry</w:t>
            </w:r>
          </w:p>
        </w:tc>
        <w:tc>
          <w:tcPr>
            <w:tcW w:w="7371" w:type="dxa"/>
          </w:tcPr>
          <w:p w:rsidR="003E4DE6" w:rsidRPr="000B35E8" w:rsidRDefault="003E4DE6" w:rsidP="00A14B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Provide details of: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Housing (e.g., type of facility, e.g., specific pathogen free (SPF); type of cage or housing; bedding material; number of cage companions; tank shape and material etc. for fish).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Husbandry conditions (e.g., breeding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>, light/dark cycle, temperature, quality of water etc. for fish, type of food, access to food and water, environmental enrichment).</w:t>
            </w:r>
          </w:p>
          <w:p w:rsidR="003E4DE6" w:rsidRPr="000B35E8" w:rsidRDefault="003E4DE6" w:rsidP="000B35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Welfare-related assessments and interventions that were carried out before, during, or after the experiment.</w:t>
            </w:r>
          </w:p>
        </w:tc>
      </w:tr>
      <w:tr w:rsidR="003E4DE6" w:rsidRPr="003E4DE6" w:rsidTr="003E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7371" w:type="dxa"/>
          </w:tcPr>
          <w:p w:rsidR="003E4DE6" w:rsidRPr="000B35E8" w:rsidRDefault="003E4DE6" w:rsidP="00A14B7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Specify the total number of animals used in each experiment and the number of animals in each experimental group.</w:t>
            </w:r>
          </w:p>
          <w:p w:rsidR="003E4DE6" w:rsidRPr="000B35E8" w:rsidRDefault="003E4DE6" w:rsidP="00A14B7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Explain how the number of animals was decided. Provide details of any sample size calculation used.</w:t>
            </w:r>
          </w:p>
          <w:p w:rsidR="003E4DE6" w:rsidRPr="000B35E8" w:rsidRDefault="003E4DE6" w:rsidP="000B35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Indicate the number of independent replications of each experiment, if relevant.</w:t>
            </w:r>
          </w:p>
        </w:tc>
      </w:tr>
      <w:tr w:rsidR="003E4DE6" w:rsidRPr="003E4DE6" w:rsidTr="003E4D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Allocating animals to experimental groups</w:t>
            </w:r>
          </w:p>
        </w:tc>
        <w:tc>
          <w:tcPr>
            <w:tcW w:w="7371" w:type="dxa"/>
          </w:tcPr>
          <w:p w:rsidR="003E4DE6" w:rsidRPr="000B35E8" w:rsidRDefault="003E4DE6" w:rsidP="000B35E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Give full details of how animals were allocated to experimental groups, including </w:t>
            </w:r>
            <w:proofErr w:type="spellStart"/>
            <w:r w:rsidRPr="000B35E8">
              <w:rPr>
                <w:rFonts w:cstheme="minorHAnsi"/>
                <w:sz w:val="20"/>
                <w:szCs w:val="20"/>
                <w:lang w:val="en-US"/>
              </w:rPr>
              <w:t>randomisation</w:t>
            </w:r>
            <w:proofErr w:type="spellEnd"/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 or matching if done.</w:t>
            </w:r>
          </w:p>
          <w:p w:rsidR="003E4DE6" w:rsidRPr="000B35E8" w:rsidRDefault="003E4DE6" w:rsidP="000B35E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Describe the order in which the animals in the different experimental groups were treated and assessed.</w:t>
            </w:r>
          </w:p>
        </w:tc>
      </w:tr>
      <w:tr w:rsidR="003E4DE6" w:rsidRPr="003E4DE6" w:rsidTr="003E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t>Experimental outcomes</w:t>
            </w:r>
          </w:p>
        </w:tc>
        <w:tc>
          <w:tcPr>
            <w:tcW w:w="7371" w:type="dxa"/>
          </w:tcPr>
          <w:p w:rsidR="003E4DE6" w:rsidRPr="000B35E8" w:rsidRDefault="003E4DE6" w:rsidP="005712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 xml:space="preserve">Clearly define the primary and secondary experimental outcomes assessed (e.g., cell death, molecular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markers,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behavioural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changes).</w:t>
            </w:r>
          </w:p>
        </w:tc>
      </w:tr>
      <w:tr w:rsidR="003E4DE6" w:rsidRPr="003E4DE6" w:rsidTr="003E4D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E4DE6" w:rsidRPr="003E4DE6" w:rsidRDefault="003E4DE6" w:rsidP="00571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E4DE6">
              <w:rPr>
                <w:rFonts w:cstheme="minorHAnsi"/>
                <w:sz w:val="20"/>
                <w:szCs w:val="20"/>
                <w:lang w:val="en-US"/>
              </w:rPr>
              <w:lastRenderedPageBreak/>
              <w:t>Statistical methods</w:t>
            </w:r>
          </w:p>
        </w:tc>
        <w:tc>
          <w:tcPr>
            <w:tcW w:w="7371" w:type="dxa"/>
          </w:tcPr>
          <w:p w:rsidR="003E4DE6" w:rsidRPr="000B35E8" w:rsidRDefault="003E4DE6" w:rsidP="000B3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Provide details of the statistical methods used for each analysis.</w:t>
            </w:r>
          </w:p>
          <w:p w:rsidR="003E4DE6" w:rsidRPr="000B35E8" w:rsidRDefault="003E4DE6" w:rsidP="000B3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Specify the unit of analysis for each dataset (e.g. single animal, group of animals, single neuron).</w:t>
            </w:r>
          </w:p>
          <w:p w:rsidR="003E4DE6" w:rsidRPr="000B35E8" w:rsidRDefault="003E4DE6" w:rsidP="000B3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B35E8">
              <w:rPr>
                <w:rFonts w:cstheme="minorHAnsi"/>
                <w:sz w:val="20"/>
                <w:szCs w:val="20"/>
                <w:lang w:val="en-US"/>
              </w:rPr>
              <w:t>Describe any methods used to assess whether the data met the assumptions of the statistical approach.</w:t>
            </w:r>
          </w:p>
        </w:tc>
      </w:tr>
    </w:tbl>
    <w:p w:rsidR="00A14B78" w:rsidRPr="00A14B78" w:rsidRDefault="00A14B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A14B78" w:rsidRPr="00A14B78" w:rsidSect="007275BC">
      <w:headerReference w:type="default" r:id="rId8"/>
      <w:pgSz w:w="11906" w:h="16838"/>
      <w:pgMar w:top="1418" w:right="1134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62" w:rsidRDefault="00E66262" w:rsidP="006C6DCC">
      <w:pPr>
        <w:spacing w:after="0" w:line="240" w:lineRule="auto"/>
      </w:pPr>
      <w:r>
        <w:separator/>
      </w:r>
    </w:p>
  </w:endnote>
  <w:endnote w:type="continuationSeparator" w:id="0">
    <w:p w:rsidR="00E66262" w:rsidRDefault="00E66262" w:rsidP="006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62" w:rsidRDefault="00E66262" w:rsidP="006C6DCC">
      <w:pPr>
        <w:spacing w:after="0" w:line="240" w:lineRule="auto"/>
      </w:pPr>
      <w:r>
        <w:separator/>
      </w:r>
    </w:p>
  </w:footnote>
  <w:footnote w:type="continuationSeparator" w:id="0">
    <w:p w:rsidR="00E66262" w:rsidRDefault="00E66262" w:rsidP="006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CC" w:rsidRDefault="006C6DCC" w:rsidP="006C6DCC">
    <w:pPr>
      <w:pStyle w:val="Header"/>
      <w:ind w:left="-1134"/>
    </w:pPr>
    <w:r w:rsidRPr="006C6DCC">
      <w:rPr>
        <w:noProof/>
        <w:lang w:val="en-US"/>
      </w:rPr>
      <w:drawing>
        <wp:inline distT="0" distB="0" distL="0" distR="0" wp14:anchorId="04EEECA9" wp14:editId="74E3B49D">
          <wp:extent cx="8494318" cy="613410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063" cy="61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460A"/>
    <w:multiLevelType w:val="hybridMultilevel"/>
    <w:tmpl w:val="74F2E41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5D22"/>
    <w:multiLevelType w:val="hybridMultilevel"/>
    <w:tmpl w:val="3A181E4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63A"/>
    <w:multiLevelType w:val="hybridMultilevel"/>
    <w:tmpl w:val="D41273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0B37"/>
    <w:multiLevelType w:val="hybridMultilevel"/>
    <w:tmpl w:val="D9B21DD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044B"/>
    <w:multiLevelType w:val="hybridMultilevel"/>
    <w:tmpl w:val="220220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53E9"/>
    <w:multiLevelType w:val="hybridMultilevel"/>
    <w:tmpl w:val="B268C51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4610"/>
    <w:multiLevelType w:val="hybridMultilevel"/>
    <w:tmpl w:val="2EC230B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5628"/>
    <w:multiLevelType w:val="hybridMultilevel"/>
    <w:tmpl w:val="0750C6D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93CCF"/>
    <w:multiLevelType w:val="hybridMultilevel"/>
    <w:tmpl w:val="390290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670B"/>
    <w:multiLevelType w:val="hybridMultilevel"/>
    <w:tmpl w:val="BAE6B6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D2793"/>
    <w:multiLevelType w:val="hybridMultilevel"/>
    <w:tmpl w:val="BFBAC6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44799"/>
    <w:multiLevelType w:val="hybridMultilevel"/>
    <w:tmpl w:val="F6AA5D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4"/>
    <w:rsid w:val="000B35E8"/>
    <w:rsid w:val="002E0AB3"/>
    <w:rsid w:val="003E4DE6"/>
    <w:rsid w:val="00520770"/>
    <w:rsid w:val="005712D4"/>
    <w:rsid w:val="006C6DCC"/>
    <w:rsid w:val="007275BC"/>
    <w:rsid w:val="00A14B78"/>
    <w:rsid w:val="00C364E1"/>
    <w:rsid w:val="00CC18BD"/>
    <w:rsid w:val="00E23EDE"/>
    <w:rsid w:val="00E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7FB10A-5EDD-4D9D-AC91-EEDD262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B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3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0B35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C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CC"/>
  </w:style>
  <w:style w:type="paragraph" w:styleId="Footer">
    <w:name w:val="footer"/>
    <w:basedOn w:val="Normal"/>
    <w:link w:val="FooterChar"/>
    <w:uiPriority w:val="99"/>
    <w:unhideWhenUsed/>
    <w:rsid w:val="006C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CC"/>
  </w:style>
  <w:style w:type="character" w:styleId="Hyperlink">
    <w:name w:val="Hyperlink"/>
    <w:basedOn w:val="DefaultParagraphFont"/>
    <w:uiPriority w:val="99"/>
    <w:unhideWhenUsed/>
    <w:rsid w:val="006C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bio.1000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Jul Madsen</dc:creator>
  <cp:keywords/>
  <dc:description/>
  <cp:lastModifiedBy>Jessica Bradley</cp:lastModifiedBy>
  <cp:revision>2</cp:revision>
  <dcterms:created xsi:type="dcterms:W3CDTF">2017-09-26T20:20:00Z</dcterms:created>
  <dcterms:modified xsi:type="dcterms:W3CDTF">2017-09-26T20:20:00Z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