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174" w:rsidRPr="000C586E" w:rsidRDefault="00B22174" w:rsidP="00B22174">
      <w:pPr>
        <w:pStyle w:val="Heading2"/>
        <w:spacing w:afterLines="120" w:after="288"/>
        <w:jc w:val="center"/>
        <w:rPr>
          <w:rFonts w:ascii="Ebrima" w:hAnsi="Ebrima"/>
        </w:rPr>
      </w:pPr>
      <w:r w:rsidRPr="000C586E">
        <w:rPr>
          <w:rFonts w:ascii="Ebrima" w:hAnsi="Ebrima"/>
          <w:sz w:val="32"/>
          <w:szCs w:val="28"/>
        </w:rPr>
        <w:t xml:space="preserve">Three Year Scheme of Work </w:t>
      </w:r>
      <w:r w:rsidRPr="000C586E">
        <w:rPr>
          <w:rFonts w:ascii="Ebrima" w:hAnsi="Ebrima"/>
          <w:sz w:val="32"/>
          <w:szCs w:val="28"/>
        </w:rPr>
        <w:br/>
        <w:t>for AQA GCSE Geography</w:t>
      </w:r>
      <w:r w:rsidRPr="000C586E">
        <w:rPr>
          <w:rFonts w:ascii="Ebrima" w:hAnsi="Ebrima"/>
        </w:rPr>
        <w:t xml:space="preserve"> </w:t>
      </w:r>
    </w:p>
    <w:p w:rsidR="00B22174" w:rsidRPr="000C586E" w:rsidRDefault="00B22174" w:rsidP="00B22174">
      <w:pPr>
        <w:spacing w:afterLines="120" w:after="288"/>
        <w:rPr>
          <w:rFonts w:ascii="Ebrima" w:hAnsi="Ebrima"/>
          <w:b/>
        </w:rPr>
      </w:pPr>
      <w:r w:rsidRPr="000C586E">
        <w:rPr>
          <w:rFonts w:ascii="Ebrima" w:hAnsi="Ebrima"/>
          <w:b/>
        </w:rPr>
        <w:t>Using a three</w:t>
      </w:r>
      <w:r w:rsidR="00712CB4" w:rsidRPr="000C586E">
        <w:rPr>
          <w:rFonts w:ascii="Ebrima" w:hAnsi="Ebrima"/>
          <w:b/>
        </w:rPr>
        <w:t>-</w:t>
      </w:r>
      <w:r w:rsidRPr="000C586E">
        <w:rPr>
          <w:rFonts w:ascii="Ebrima" w:hAnsi="Ebrima"/>
          <w:b/>
        </w:rPr>
        <w:t>year scheme of work</w:t>
      </w:r>
    </w:p>
    <w:p w:rsidR="00712CB4" w:rsidRPr="000C586E" w:rsidRDefault="00B22174" w:rsidP="00B22174">
      <w:pPr>
        <w:spacing w:after="40"/>
        <w:rPr>
          <w:rFonts w:ascii="Ebrima" w:hAnsi="Ebrima"/>
          <w:sz w:val="20"/>
          <w:szCs w:val="20"/>
        </w:rPr>
      </w:pPr>
      <w:r w:rsidRPr="000C586E">
        <w:rPr>
          <w:rFonts w:ascii="Ebrima" w:hAnsi="Ebrima"/>
          <w:sz w:val="20"/>
          <w:szCs w:val="20"/>
        </w:rPr>
        <w:t>Usin</w:t>
      </w:r>
      <w:r w:rsidR="000E58FB">
        <w:rPr>
          <w:rFonts w:ascii="Ebrima" w:hAnsi="Ebrima"/>
          <w:sz w:val="20"/>
          <w:szCs w:val="20"/>
        </w:rPr>
        <w:t>g three years to complete the G</w:t>
      </w:r>
      <w:r w:rsidRPr="000C586E">
        <w:rPr>
          <w:rFonts w:ascii="Ebrima" w:hAnsi="Ebrima"/>
          <w:sz w:val="20"/>
          <w:szCs w:val="20"/>
        </w:rPr>
        <w:t>C</w:t>
      </w:r>
      <w:r w:rsidR="000E58FB">
        <w:rPr>
          <w:rFonts w:ascii="Ebrima" w:hAnsi="Ebrima"/>
          <w:sz w:val="20"/>
          <w:szCs w:val="20"/>
        </w:rPr>
        <w:t>S</w:t>
      </w:r>
      <w:bookmarkStart w:id="0" w:name="_GoBack"/>
      <w:bookmarkEnd w:id="0"/>
      <w:r w:rsidRPr="000C586E">
        <w:rPr>
          <w:rFonts w:ascii="Ebrima" w:hAnsi="Ebrima"/>
          <w:sz w:val="20"/>
          <w:szCs w:val="20"/>
        </w:rPr>
        <w:t xml:space="preserve">E course gives an added degree of flexibility by adding approximately 40 hours to the total teaching time. </w:t>
      </w:r>
    </w:p>
    <w:p w:rsidR="00B22174" w:rsidRPr="000C586E" w:rsidRDefault="00B22174" w:rsidP="00B22174">
      <w:pPr>
        <w:spacing w:after="40"/>
        <w:rPr>
          <w:rFonts w:ascii="Ebrima" w:hAnsi="Ebrima"/>
          <w:sz w:val="20"/>
          <w:szCs w:val="20"/>
        </w:rPr>
      </w:pPr>
      <w:r w:rsidRPr="000C586E">
        <w:rPr>
          <w:rFonts w:ascii="Ebrima" w:hAnsi="Ebrima"/>
          <w:sz w:val="20"/>
          <w:szCs w:val="20"/>
        </w:rPr>
        <w:t>This time can be used in different ways, including:</w:t>
      </w:r>
    </w:p>
    <w:p w:rsidR="00B22174" w:rsidRPr="000C586E" w:rsidRDefault="00712CB4" w:rsidP="00B22174">
      <w:pPr>
        <w:pStyle w:val="ListParagraph"/>
        <w:numPr>
          <w:ilvl w:val="0"/>
          <w:numId w:val="8"/>
        </w:numPr>
        <w:spacing w:afterLines="120" w:after="288"/>
        <w:rPr>
          <w:rFonts w:ascii="Ebrima" w:hAnsi="Ebrima"/>
          <w:sz w:val="20"/>
          <w:szCs w:val="20"/>
        </w:rPr>
      </w:pPr>
      <w:r w:rsidRPr="000C586E">
        <w:rPr>
          <w:rFonts w:ascii="Ebrima" w:hAnsi="Ebrima"/>
          <w:sz w:val="20"/>
          <w:szCs w:val="20"/>
        </w:rPr>
        <w:t>s</w:t>
      </w:r>
      <w:r w:rsidR="00B22174" w:rsidRPr="000C586E">
        <w:rPr>
          <w:rFonts w:ascii="Ebrima" w:hAnsi="Ebrima"/>
          <w:sz w:val="20"/>
          <w:szCs w:val="20"/>
        </w:rPr>
        <w:t xml:space="preserve">imply taking more time to </w:t>
      </w:r>
      <w:r w:rsidRPr="000C586E">
        <w:rPr>
          <w:rFonts w:ascii="Ebrima" w:hAnsi="Ebrima"/>
          <w:sz w:val="20"/>
          <w:szCs w:val="20"/>
        </w:rPr>
        <w:t>cover the specification content</w:t>
      </w:r>
    </w:p>
    <w:p w:rsidR="00B22174" w:rsidRPr="000C586E" w:rsidRDefault="00712CB4" w:rsidP="00B22174">
      <w:pPr>
        <w:pStyle w:val="ListParagraph"/>
        <w:numPr>
          <w:ilvl w:val="0"/>
          <w:numId w:val="8"/>
        </w:numPr>
        <w:spacing w:afterLines="120" w:after="288"/>
        <w:rPr>
          <w:rFonts w:ascii="Ebrima" w:hAnsi="Ebrima"/>
          <w:sz w:val="20"/>
          <w:szCs w:val="20"/>
        </w:rPr>
      </w:pPr>
      <w:r w:rsidRPr="000C586E">
        <w:rPr>
          <w:rFonts w:ascii="Ebrima" w:hAnsi="Ebrima"/>
          <w:sz w:val="20"/>
          <w:szCs w:val="20"/>
        </w:rPr>
        <w:t>h</w:t>
      </w:r>
      <w:r w:rsidR="00B22174" w:rsidRPr="000C586E">
        <w:rPr>
          <w:rFonts w:ascii="Ebrima" w:hAnsi="Ebrima"/>
          <w:sz w:val="20"/>
          <w:szCs w:val="20"/>
        </w:rPr>
        <w:t xml:space="preserve">aving a greater number of </w:t>
      </w:r>
      <w:r w:rsidRPr="000C586E">
        <w:rPr>
          <w:rFonts w:ascii="Ebrima" w:hAnsi="Ebrima"/>
          <w:sz w:val="20"/>
          <w:szCs w:val="20"/>
        </w:rPr>
        <w:t>assessment/consolidation points</w:t>
      </w:r>
    </w:p>
    <w:p w:rsidR="00B22174" w:rsidRPr="000C586E" w:rsidRDefault="00712CB4" w:rsidP="00B22174">
      <w:pPr>
        <w:pStyle w:val="ListParagraph"/>
        <w:numPr>
          <w:ilvl w:val="0"/>
          <w:numId w:val="8"/>
        </w:numPr>
        <w:spacing w:afterLines="120" w:after="288"/>
        <w:rPr>
          <w:rFonts w:ascii="Ebrima" w:hAnsi="Ebrima"/>
          <w:sz w:val="20"/>
          <w:szCs w:val="20"/>
        </w:rPr>
      </w:pPr>
      <w:r w:rsidRPr="000C586E">
        <w:rPr>
          <w:rFonts w:ascii="Ebrima" w:hAnsi="Ebrima"/>
          <w:sz w:val="20"/>
          <w:szCs w:val="20"/>
        </w:rPr>
        <w:t>s</w:t>
      </w:r>
      <w:r w:rsidR="00B22174" w:rsidRPr="000C586E">
        <w:rPr>
          <w:rFonts w:ascii="Ebrima" w:hAnsi="Ebrima"/>
          <w:sz w:val="20"/>
          <w:szCs w:val="20"/>
        </w:rPr>
        <w:t>pending more time on fieldwork and</w:t>
      </w:r>
      <w:r w:rsidRPr="000C586E">
        <w:rPr>
          <w:rFonts w:ascii="Ebrima" w:hAnsi="Ebrima"/>
          <w:sz w:val="20"/>
          <w:szCs w:val="20"/>
        </w:rPr>
        <w:t xml:space="preserve"> issue-evaluation opportunities</w:t>
      </w:r>
    </w:p>
    <w:p w:rsidR="00B22174" w:rsidRPr="000C586E" w:rsidRDefault="00712CB4" w:rsidP="00B22174">
      <w:pPr>
        <w:pStyle w:val="ListParagraph"/>
        <w:numPr>
          <w:ilvl w:val="0"/>
          <w:numId w:val="8"/>
        </w:numPr>
        <w:spacing w:afterLines="120" w:after="288"/>
        <w:rPr>
          <w:rFonts w:ascii="Ebrima" w:hAnsi="Ebrima"/>
          <w:sz w:val="20"/>
          <w:szCs w:val="20"/>
        </w:rPr>
      </w:pPr>
      <w:r w:rsidRPr="000C586E">
        <w:rPr>
          <w:rFonts w:ascii="Ebrima" w:hAnsi="Ebrima"/>
          <w:sz w:val="20"/>
          <w:szCs w:val="20"/>
        </w:rPr>
        <w:t>c</w:t>
      </w:r>
      <w:r w:rsidR="00B22174" w:rsidRPr="000C586E">
        <w:rPr>
          <w:rFonts w:ascii="Ebrima" w:hAnsi="Ebrima"/>
          <w:sz w:val="20"/>
          <w:szCs w:val="20"/>
        </w:rPr>
        <w:t>ompleting the teaching of the course earlier and consequently putting in place a more detailed and comprehensive revision and ex</w:t>
      </w:r>
      <w:r w:rsidRPr="000C586E">
        <w:rPr>
          <w:rFonts w:ascii="Ebrima" w:hAnsi="Ebrima"/>
          <w:sz w:val="20"/>
          <w:szCs w:val="20"/>
        </w:rPr>
        <w:t>amination preparation programme</w:t>
      </w:r>
    </w:p>
    <w:p w:rsidR="00712CB4" w:rsidRPr="000C586E" w:rsidRDefault="00712CB4" w:rsidP="00B22174">
      <w:pPr>
        <w:pStyle w:val="ListParagraph"/>
        <w:numPr>
          <w:ilvl w:val="0"/>
          <w:numId w:val="8"/>
        </w:numPr>
        <w:spacing w:afterLines="120" w:after="288"/>
        <w:rPr>
          <w:rFonts w:ascii="Ebrima" w:hAnsi="Ebrima"/>
          <w:sz w:val="20"/>
          <w:szCs w:val="20"/>
        </w:rPr>
      </w:pPr>
      <w:r w:rsidRPr="000C586E">
        <w:rPr>
          <w:rFonts w:ascii="Ebrima" w:hAnsi="Ebrima"/>
          <w:sz w:val="20"/>
          <w:szCs w:val="20"/>
        </w:rPr>
        <w:t>c</w:t>
      </w:r>
      <w:r w:rsidR="00B22174" w:rsidRPr="000C586E">
        <w:rPr>
          <w:rFonts w:ascii="Ebrima" w:hAnsi="Ebrima"/>
          <w:sz w:val="20"/>
          <w:szCs w:val="20"/>
        </w:rPr>
        <w:t>ompleting the course earlier and allowing more time to be spen</w:t>
      </w:r>
      <w:r w:rsidRPr="000C586E">
        <w:rPr>
          <w:rFonts w:ascii="Ebrima" w:hAnsi="Ebrima"/>
          <w:sz w:val="20"/>
          <w:szCs w:val="20"/>
        </w:rPr>
        <w:t>t on the pre-release materials</w:t>
      </w:r>
    </w:p>
    <w:p w:rsidR="00712CB4" w:rsidRPr="000C586E" w:rsidRDefault="00712CB4" w:rsidP="00712CB4">
      <w:pPr>
        <w:pStyle w:val="ListParagraph"/>
        <w:numPr>
          <w:ilvl w:val="0"/>
          <w:numId w:val="8"/>
        </w:numPr>
        <w:spacing w:afterLines="120" w:after="288"/>
        <w:rPr>
          <w:rFonts w:ascii="Ebrima" w:hAnsi="Ebrima"/>
          <w:sz w:val="20"/>
          <w:szCs w:val="20"/>
        </w:rPr>
      </w:pPr>
      <w:r w:rsidRPr="000C586E">
        <w:rPr>
          <w:rFonts w:ascii="Ebrima" w:hAnsi="Ebrima"/>
          <w:sz w:val="20"/>
          <w:szCs w:val="20"/>
        </w:rPr>
        <w:t>developing a skills based package which introduces students to many of the skills highlighted in the Specification skills checklist.</w:t>
      </w:r>
    </w:p>
    <w:p w:rsidR="00712CB4" w:rsidRPr="000C586E" w:rsidRDefault="00712CB4" w:rsidP="00712CB4">
      <w:pPr>
        <w:pStyle w:val="ListParagraph"/>
        <w:numPr>
          <w:ilvl w:val="0"/>
          <w:numId w:val="8"/>
        </w:numPr>
        <w:spacing w:afterLines="120" w:after="288"/>
        <w:rPr>
          <w:rFonts w:ascii="Ebrima" w:hAnsi="Ebrima"/>
          <w:sz w:val="20"/>
          <w:szCs w:val="20"/>
        </w:rPr>
      </w:pPr>
      <w:r w:rsidRPr="000C586E">
        <w:rPr>
          <w:rFonts w:ascii="Ebrima" w:hAnsi="Ebrima"/>
          <w:sz w:val="20"/>
          <w:szCs w:val="20"/>
        </w:rPr>
        <w:t xml:space="preserve">using an enquiry based approach to cover elements (or one part) of the course. </w:t>
      </w:r>
      <w:r w:rsidRPr="000C586E">
        <w:rPr>
          <w:rFonts w:ascii="Ebrima" w:hAnsi="Ebrima"/>
          <w:sz w:val="20"/>
          <w:szCs w:val="20"/>
        </w:rPr>
        <w:br/>
        <w:t>This would introduce students to the importance of fieldwork and issue- evaluation in a less time pressured teaching environment. It will also give students the opportunity to develop individual learning skills which will be important in encouraging them to take a greater responsibility for their own learning and the ability to extend their learning.</w:t>
      </w:r>
    </w:p>
    <w:p w:rsidR="00B22174" w:rsidRPr="000C586E" w:rsidRDefault="00B22174" w:rsidP="00712CB4">
      <w:pPr>
        <w:spacing w:afterLines="120" w:after="288"/>
        <w:rPr>
          <w:rFonts w:ascii="Ebrima" w:hAnsi="Ebrima"/>
          <w:b/>
        </w:rPr>
      </w:pPr>
      <w:r w:rsidRPr="000C586E">
        <w:rPr>
          <w:rFonts w:ascii="Ebrima" w:hAnsi="Ebrima"/>
          <w:b/>
        </w:rPr>
        <w:t xml:space="preserve">Possible examples of the use of </w:t>
      </w:r>
      <w:r w:rsidR="00712CB4" w:rsidRPr="000C586E">
        <w:rPr>
          <w:rFonts w:ascii="Ebrima" w:hAnsi="Ebrima"/>
          <w:b/>
        </w:rPr>
        <w:t>a three year teaching programme</w:t>
      </w:r>
    </w:p>
    <w:p w:rsidR="00B22174" w:rsidRPr="000C586E" w:rsidRDefault="00B22174" w:rsidP="00B22174">
      <w:pPr>
        <w:pStyle w:val="ListParagraph"/>
        <w:numPr>
          <w:ilvl w:val="0"/>
          <w:numId w:val="10"/>
        </w:numPr>
        <w:spacing w:afterLines="120" w:after="288"/>
        <w:rPr>
          <w:rFonts w:ascii="Ebrima" w:hAnsi="Ebrima"/>
          <w:sz w:val="20"/>
          <w:szCs w:val="20"/>
        </w:rPr>
      </w:pPr>
      <w:r w:rsidRPr="000C586E">
        <w:rPr>
          <w:rFonts w:ascii="Ebrima" w:hAnsi="Ebrima"/>
          <w:sz w:val="20"/>
          <w:szCs w:val="20"/>
        </w:rPr>
        <w:t xml:space="preserve">Using the two-year scheme of work and simply extending the time allocated to each taught unit. </w:t>
      </w:r>
    </w:p>
    <w:p w:rsidR="00B22174" w:rsidRPr="000C586E" w:rsidRDefault="00B22174" w:rsidP="00B22174">
      <w:pPr>
        <w:pStyle w:val="ListParagraph"/>
        <w:numPr>
          <w:ilvl w:val="0"/>
          <w:numId w:val="10"/>
        </w:numPr>
        <w:spacing w:afterLines="120" w:after="288"/>
        <w:rPr>
          <w:rFonts w:ascii="Ebrima" w:hAnsi="Ebrima"/>
          <w:sz w:val="20"/>
          <w:szCs w:val="20"/>
        </w:rPr>
      </w:pPr>
      <w:r w:rsidRPr="000C586E">
        <w:rPr>
          <w:rFonts w:ascii="Ebrima" w:hAnsi="Ebrima"/>
          <w:sz w:val="20"/>
          <w:szCs w:val="20"/>
        </w:rPr>
        <w:t>Using the two-year scheme of work and incorporating a greater number of the fieldwork and issue-evaluation opp</w:t>
      </w:r>
      <w:r w:rsidR="00712CB4" w:rsidRPr="000C586E">
        <w:rPr>
          <w:rFonts w:ascii="Ebrima" w:hAnsi="Ebrima"/>
          <w:sz w:val="20"/>
          <w:szCs w:val="20"/>
        </w:rPr>
        <w:t>ortunities expressed in the two-</w:t>
      </w:r>
      <w:r w:rsidRPr="000C586E">
        <w:rPr>
          <w:rFonts w:ascii="Ebrima" w:hAnsi="Ebrima"/>
          <w:sz w:val="20"/>
          <w:szCs w:val="20"/>
        </w:rPr>
        <w:t>year scheme of work.</w:t>
      </w:r>
    </w:p>
    <w:p w:rsidR="00B22174" w:rsidRPr="000C586E" w:rsidRDefault="00B22174" w:rsidP="00B22174">
      <w:pPr>
        <w:pStyle w:val="ListParagraph"/>
        <w:numPr>
          <w:ilvl w:val="0"/>
          <w:numId w:val="10"/>
        </w:numPr>
        <w:spacing w:afterLines="120" w:after="288"/>
        <w:rPr>
          <w:rFonts w:ascii="Ebrima" w:hAnsi="Ebrima"/>
          <w:sz w:val="20"/>
          <w:szCs w:val="20"/>
        </w:rPr>
      </w:pPr>
      <w:r w:rsidRPr="000C586E">
        <w:rPr>
          <w:rFonts w:ascii="Ebrima" w:hAnsi="Ebrima"/>
          <w:sz w:val="20"/>
          <w:szCs w:val="20"/>
        </w:rPr>
        <w:t xml:space="preserve">Using Year 9 in order to develop an induction/introduction to the GCSE course. This can be done </w:t>
      </w:r>
      <w:r w:rsidR="00712CB4" w:rsidRPr="000C586E">
        <w:rPr>
          <w:rFonts w:ascii="Ebrima" w:hAnsi="Ebrima"/>
          <w:sz w:val="20"/>
          <w:szCs w:val="20"/>
        </w:rPr>
        <w:t>in a variety of ways, including:</w:t>
      </w:r>
    </w:p>
    <w:p w:rsidR="00712CB4" w:rsidRPr="000C586E" w:rsidRDefault="00712CB4" w:rsidP="00712CB4">
      <w:pPr>
        <w:pStyle w:val="ListParagraph"/>
        <w:numPr>
          <w:ilvl w:val="0"/>
          <w:numId w:val="8"/>
        </w:numPr>
        <w:spacing w:afterLines="120" w:after="288"/>
        <w:ind w:left="709"/>
        <w:rPr>
          <w:rFonts w:ascii="Ebrima" w:hAnsi="Ebrima"/>
          <w:sz w:val="20"/>
          <w:szCs w:val="20"/>
        </w:rPr>
      </w:pPr>
      <w:r w:rsidRPr="000C586E">
        <w:rPr>
          <w:rFonts w:ascii="Ebrima" w:hAnsi="Ebrima"/>
          <w:sz w:val="20"/>
          <w:szCs w:val="20"/>
        </w:rPr>
        <w:t>Selecting a part of the course which might be considered particularly inspiring or which lends itself to a wide range of imaginative teaching and learning methods. This can be used to enthuse students and encourage them in their GCSE studies so that they are already aware of the requirements at GCSE and are focused on their studies as they enter Year 10.</w:t>
      </w:r>
    </w:p>
    <w:p w:rsidR="00712CB4" w:rsidRPr="000C586E" w:rsidRDefault="00712CB4" w:rsidP="00712CB4">
      <w:pPr>
        <w:pStyle w:val="ListParagraph"/>
        <w:numPr>
          <w:ilvl w:val="0"/>
          <w:numId w:val="8"/>
        </w:numPr>
        <w:spacing w:afterLines="120" w:after="288"/>
        <w:ind w:left="709"/>
        <w:rPr>
          <w:rFonts w:ascii="Ebrima" w:hAnsi="Ebrima"/>
          <w:sz w:val="20"/>
          <w:szCs w:val="20"/>
        </w:rPr>
      </w:pPr>
      <w:r w:rsidRPr="000C586E">
        <w:rPr>
          <w:rFonts w:ascii="Ebrima" w:hAnsi="Ebrima"/>
          <w:sz w:val="20"/>
          <w:szCs w:val="20"/>
        </w:rPr>
        <w:t>Selecting those parts of the course which can be delivered using the local area. Towards the latter stage of Year 9 it might be possible to fulfil the fieldwork requirements for the GCSE course. It may be easier to take students out of school for fieldwork in Year 9 than in Year 10 or Year 11.</w:t>
      </w:r>
    </w:p>
    <w:p w:rsidR="00712CB4" w:rsidRPr="000C586E" w:rsidRDefault="00712CB4">
      <w:pPr>
        <w:rPr>
          <w:rFonts w:ascii="Ebrima" w:hAnsi="Ebrima"/>
          <w:sz w:val="22"/>
          <w:szCs w:val="22"/>
        </w:rPr>
        <w:sectPr w:rsidR="00712CB4" w:rsidRPr="000C586E" w:rsidSect="0032588D">
          <w:headerReference w:type="even" r:id="rId7"/>
          <w:headerReference w:type="default" r:id="rId8"/>
          <w:footerReference w:type="default" r:id="rId9"/>
          <w:headerReference w:type="first" r:id="rId10"/>
          <w:pgSz w:w="11906" w:h="16838"/>
          <w:pgMar w:top="1814" w:right="1440" w:bottom="1440" w:left="1440" w:header="0" w:footer="709" w:gutter="0"/>
          <w:cols w:space="708"/>
          <w:docGrid w:linePitch="360"/>
        </w:sectPr>
      </w:pPr>
    </w:p>
    <w:p w:rsidR="00B22174" w:rsidRPr="000C586E" w:rsidRDefault="00B22174" w:rsidP="00B22174">
      <w:pPr>
        <w:spacing w:afterLines="120" w:after="288"/>
        <w:rPr>
          <w:rFonts w:ascii="Ebrima" w:hAnsi="Ebrima"/>
          <w:b/>
          <w:sz w:val="28"/>
          <w:szCs w:val="22"/>
        </w:rPr>
      </w:pPr>
      <w:r w:rsidRPr="000C586E">
        <w:rPr>
          <w:rFonts w:ascii="Ebrima" w:hAnsi="Ebrima"/>
          <w:b/>
          <w:sz w:val="28"/>
          <w:szCs w:val="22"/>
        </w:rPr>
        <w:lastRenderedPageBreak/>
        <w:t>Example of a three</w:t>
      </w:r>
      <w:r w:rsidR="00712CB4" w:rsidRPr="000C586E">
        <w:rPr>
          <w:rFonts w:ascii="Ebrima" w:hAnsi="Ebrima"/>
          <w:b/>
          <w:sz w:val="28"/>
          <w:szCs w:val="22"/>
        </w:rPr>
        <w:t>-</w:t>
      </w:r>
      <w:r w:rsidRPr="000C586E">
        <w:rPr>
          <w:rFonts w:ascii="Ebrima" w:hAnsi="Ebrima"/>
          <w:b/>
          <w:sz w:val="28"/>
          <w:szCs w:val="22"/>
        </w:rPr>
        <w:t>year structure</w:t>
      </w:r>
    </w:p>
    <w:p w:rsidR="00B22174" w:rsidRPr="000C586E" w:rsidRDefault="00B22174" w:rsidP="00B22174">
      <w:pPr>
        <w:spacing w:afterLines="120" w:after="288"/>
        <w:rPr>
          <w:rFonts w:ascii="Ebrima" w:hAnsi="Ebrima"/>
          <w:sz w:val="20"/>
          <w:szCs w:val="20"/>
        </w:rPr>
      </w:pPr>
      <w:r w:rsidRPr="000C586E">
        <w:rPr>
          <w:rFonts w:ascii="Ebrima" w:hAnsi="Ebrima"/>
          <w:sz w:val="20"/>
          <w:szCs w:val="20"/>
        </w:rPr>
        <w:t>There are clearly many ways that the GCSE course can</w:t>
      </w:r>
      <w:r w:rsidR="00712CB4" w:rsidRPr="000C586E">
        <w:rPr>
          <w:rFonts w:ascii="Ebrima" w:hAnsi="Ebrima"/>
          <w:sz w:val="20"/>
          <w:szCs w:val="20"/>
        </w:rPr>
        <w:t xml:space="preserve"> be managed to fit into a three-</w:t>
      </w:r>
      <w:r w:rsidRPr="000C586E">
        <w:rPr>
          <w:rFonts w:ascii="Ebrima" w:hAnsi="Ebrima"/>
          <w:sz w:val="20"/>
          <w:szCs w:val="20"/>
        </w:rPr>
        <w:t>year structure. The following example</w:t>
      </w:r>
      <w:r w:rsidR="00712CB4" w:rsidRPr="000C586E">
        <w:rPr>
          <w:rFonts w:ascii="Ebrima" w:hAnsi="Ebrima"/>
          <w:sz w:val="20"/>
          <w:szCs w:val="20"/>
        </w:rPr>
        <w:t>s are based on the existing two-</w:t>
      </w:r>
      <w:r w:rsidRPr="000C586E">
        <w:rPr>
          <w:rFonts w:ascii="Ebrima" w:hAnsi="Ebrima"/>
          <w:sz w:val="20"/>
          <w:szCs w:val="20"/>
        </w:rPr>
        <w:t xml:space="preserve">year structure in relation to the order in which the content might be covered. </w:t>
      </w:r>
    </w:p>
    <w:p w:rsidR="00712CB4" w:rsidRPr="000C586E" w:rsidRDefault="00B22174" w:rsidP="00B22174">
      <w:pPr>
        <w:spacing w:afterLines="120" w:after="288"/>
        <w:rPr>
          <w:rFonts w:ascii="Ebrima" w:hAnsi="Ebrima"/>
          <w:b/>
          <w:szCs w:val="22"/>
        </w:rPr>
      </w:pPr>
      <w:r w:rsidRPr="000C586E">
        <w:rPr>
          <w:rFonts w:ascii="Ebrima" w:hAnsi="Ebrima"/>
          <w:b/>
          <w:szCs w:val="22"/>
        </w:rPr>
        <w:t xml:space="preserve">Brief outline </w:t>
      </w:r>
    </w:p>
    <w:p w:rsidR="00B22174" w:rsidRPr="000C586E" w:rsidRDefault="00712CB4" w:rsidP="00B22174">
      <w:pPr>
        <w:spacing w:afterLines="120" w:after="288"/>
        <w:rPr>
          <w:rFonts w:ascii="Ebrima" w:hAnsi="Ebrima"/>
          <w:sz w:val="20"/>
          <w:szCs w:val="20"/>
        </w:rPr>
      </w:pPr>
      <w:r w:rsidRPr="000C586E">
        <w:rPr>
          <w:rFonts w:ascii="Ebrima" w:hAnsi="Ebrima"/>
          <w:sz w:val="20"/>
          <w:szCs w:val="20"/>
        </w:rPr>
        <w:t xml:space="preserve">Specific </w:t>
      </w:r>
      <w:r w:rsidR="00B22174" w:rsidRPr="000C586E">
        <w:rPr>
          <w:rFonts w:ascii="Ebrima" w:hAnsi="Ebrima"/>
          <w:sz w:val="20"/>
          <w:szCs w:val="20"/>
        </w:rPr>
        <w:t xml:space="preserve">detail </w:t>
      </w:r>
      <w:r w:rsidRPr="000C586E">
        <w:rPr>
          <w:rFonts w:ascii="Ebrima" w:hAnsi="Ebrima"/>
          <w:sz w:val="20"/>
          <w:szCs w:val="20"/>
        </w:rPr>
        <w:t xml:space="preserve">on the following is </w:t>
      </w:r>
      <w:r w:rsidR="00B22174" w:rsidRPr="000C586E">
        <w:rPr>
          <w:rFonts w:ascii="Ebrima" w:hAnsi="Ebrima"/>
          <w:sz w:val="20"/>
          <w:szCs w:val="20"/>
        </w:rPr>
        <w:t>expr</w:t>
      </w:r>
      <w:r w:rsidRPr="000C586E">
        <w:rPr>
          <w:rFonts w:ascii="Ebrima" w:hAnsi="Ebrima"/>
          <w:sz w:val="20"/>
          <w:szCs w:val="20"/>
        </w:rPr>
        <w:t>essed in the two-year scheme of work.</w:t>
      </w:r>
    </w:p>
    <w:tbl>
      <w:tblPr>
        <w:tblStyle w:val="TableGrid"/>
        <w:tblW w:w="13716" w:type="dxa"/>
        <w:tblLayout w:type="fixed"/>
        <w:tblLook w:val="04A0" w:firstRow="1" w:lastRow="0" w:firstColumn="1" w:lastColumn="0" w:noHBand="0" w:noVBand="1"/>
      </w:tblPr>
      <w:tblGrid>
        <w:gridCol w:w="4219"/>
        <w:gridCol w:w="4796"/>
        <w:gridCol w:w="4701"/>
      </w:tblGrid>
      <w:tr w:rsidR="004A137D" w:rsidRPr="000C586E" w:rsidTr="004A137D">
        <w:trPr>
          <w:cantSplit/>
        </w:trPr>
        <w:tc>
          <w:tcPr>
            <w:tcW w:w="13716" w:type="dxa"/>
            <w:gridSpan w:val="3"/>
            <w:shd w:val="clear" w:color="auto" w:fill="008996"/>
          </w:tcPr>
          <w:p w:rsidR="004A137D" w:rsidRPr="000C586E" w:rsidRDefault="004A137D" w:rsidP="004A137D">
            <w:pPr>
              <w:spacing w:after="60"/>
              <w:rPr>
                <w:rFonts w:ascii="Ebrima" w:hAnsi="Ebrima"/>
                <w:color w:val="FFFFFF" w:themeColor="background1"/>
                <w:sz w:val="20"/>
                <w:szCs w:val="20"/>
              </w:rPr>
            </w:pPr>
            <w:r w:rsidRPr="000C586E">
              <w:rPr>
                <w:rFonts w:ascii="Ebrima" w:hAnsi="Ebrima"/>
                <w:b/>
                <w:color w:val="FFFFFF" w:themeColor="background1"/>
                <w:sz w:val="20"/>
                <w:szCs w:val="20"/>
              </w:rPr>
              <w:t xml:space="preserve">YEAR 1 (Year 9) </w:t>
            </w:r>
          </w:p>
        </w:tc>
      </w:tr>
      <w:tr w:rsidR="004A137D" w:rsidRPr="000C586E" w:rsidTr="000D5280">
        <w:trPr>
          <w:trHeight w:val="211"/>
        </w:trPr>
        <w:tc>
          <w:tcPr>
            <w:tcW w:w="13716" w:type="dxa"/>
            <w:gridSpan w:val="3"/>
            <w:shd w:val="clear" w:color="auto" w:fill="D9D9D9" w:themeFill="background1" w:themeFillShade="D9"/>
          </w:tcPr>
          <w:p w:rsidR="004A137D" w:rsidRPr="000C586E" w:rsidRDefault="004A137D" w:rsidP="003839AF">
            <w:pPr>
              <w:spacing w:after="60"/>
              <w:rPr>
                <w:rFonts w:ascii="Ebrima" w:hAnsi="Ebrima"/>
                <w:b/>
                <w:sz w:val="20"/>
                <w:szCs w:val="20"/>
              </w:rPr>
            </w:pPr>
            <w:r w:rsidRPr="000C586E">
              <w:rPr>
                <w:rFonts w:ascii="Ebrima" w:hAnsi="Ebrima"/>
                <w:sz w:val="20"/>
                <w:szCs w:val="20"/>
              </w:rPr>
              <w:t>It might be helpful to include an introductory element which introduces students to the idea of GCSE and the types of skills that will be required. This would be essentially an induction period which would build confidence and set the groundwork for study at GCSE level.</w:t>
            </w:r>
          </w:p>
        </w:tc>
      </w:tr>
      <w:tr w:rsidR="004A137D" w:rsidRPr="000C586E" w:rsidTr="003839AF">
        <w:trPr>
          <w:cantSplit/>
        </w:trPr>
        <w:tc>
          <w:tcPr>
            <w:tcW w:w="13716" w:type="dxa"/>
            <w:gridSpan w:val="3"/>
            <w:shd w:val="clear" w:color="auto" w:fill="008996"/>
          </w:tcPr>
          <w:p w:rsidR="004A137D" w:rsidRPr="000C586E" w:rsidRDefault="004A137D" w:rsidP="003839AF">
            <w:pPr>
              <w:spacing w:after="60"/>
              <w:rPr>
                <w:rFonts w:ascii="Ebrima" w:hAnsi="Ebrima"/>
                <w:color w:val="FFFFFF" w:themeColor="background1"/>
                <w:sz w:val="20"/>
                <w:szCs w:val="20"/>
              </w:rPr>
            </w:pPr>
            <w:r w:rsidRPr="000C586E">
              <w:rPr>
                <w:rFonts w:ascii="Ebrima" w:hAnsi="Ebrima"/>
                <w:b/>
                <w:color w:val="FFFFFF" w:themeColor="background1"/>
                <w:sz w:val="20"/>
                <w:szCs w:val="20"/>
              </w:rPr>
              <w:t>Autumn term</w:t>
            </w:r>
          </w:p>
        </w:tc>
      </w:tr>
      <w:tr w:rsidR="00CB1997" w:rsidRPr="000C586E" w:rsidTr="004A137D">
        <w:tc>
          <w:tcPr>
            <w:tcW w:w="4219" w:type="dxa"/>
            <w:vMerge w:val="restart"/>
          </w:tcPr>
          <w:p w:rsidR="00CB1997" w:rsidRPr="000C586E" w:rsidRDefault="00CB1997" w:rsidP="00CB1997">
            <w:pPr>
              <w:spacing w:after="60"/>
              <w:rPr>
                <w:rFonts w:ascii="Ebrima" w:hAnsi="Ebrima"/>
                <w:sz w:val="20"/>
                <w:szCs w:val="20"/>
              </w:rPr>
            </w:pPr>
            <w:r w:rsidRPr="000C586E">
              <w:rPr>
                <w:rFonts w:ascii="Ebrima" w:hAnsi="Ebrima"/>
                <w:sz w:val="20"/>
                <w:szCs w:val="20"/>
              </w:rPr>
              <w:t>Living with the physical environment</w:t>
            </w:r>
          </w:p>
        </w:tc>
        <w:tc>
          <w:tcPr>
            <w:tcW w:w="4796" w:type="dxa"/>
            <w:vMerge w:val="restart"/>
          </w:tcPr>
          <w:p w:rsidR="00CB1997" w:rsidRPr="000C586E" w:rsidRDefault="00CB1997" w:rsidP="00CB1997">
            <w:pPr>
              <w:spacing w:after="60"/>
              <w:rPr>
                <w:rFonts w:ascii="Ebrima" w:hAnsi="Ebrima"/>
                <w:sz w:val="20"/>
                <w:szCs w:val="20"/>
              </w:rPr>
            </w:pPr>
            <w:r w:rsidRPr="000C586E">
              <w:rPr>
                <w:rFonts w:ascii="Ebrima" w:hAnsi="Ebrima"/>
                <w:sz w:val="20"/>
                <w:szCs w:val="20"/>
              </w:rPr>
              <w:t>Section A – The challenge of natural hazards</w:t>
            </w:r>
          </w:p>
        </w:tc>
        <w:tc>
          <w:tcPr>
            <w:tcW w:w="4701" w:type="dxa"/>
          </w:tcPr>
          <w:p w:rsidR="00CB1997" w:rsidRPr="000C586E" w:rsidRDefault="00CB1997" w:rsidP="00CB1997">
            <w:pPr>
              <w:spacing w:after="60"/>
              <w:rPr>
                <w:rFonts w:ascii="Ebrima" w:hAnsi="Ebrima"/>
                <w:sz w:val="20"/>
                <w:szCs w:val="20"/>
              </w:rPr>
            </w:pPr>
            <w:r w:rsidRPr="000C586E">
              <w:rPr>
                <w:rFonts w:ascii="Ebrima" w:hAnsi="Ebrima"/>
                <w:sz w:val="20"/>
                <w:szCs w:val="20"/>
              </w:rPr>
              <w:t>Introduction to natural hazards</w:t>
            </w:r>
          </w:p>
        </w:tc>
      </w:tr>
      <w:tr w:rsidR="00CB1997" w:rsidRPr="000C586E" w:rsidTr="004A137D">
        <w:tc>
          <w:tcPr>
            <w:tcW w:w="4219" w:type="dxa"/>
            <w:vMerge/>
          </w:tcPr>
          <w:p w:rsidR="00CB1997" w:rsidRPr="000C586E" w:rsidRDefault="00CB1997" w:rsidP="00CB1997">
            <w:pPr>
              <w:spacing w:after="60"/>
              <w:rPr>
                <w:rFonts w:ascii="Ebrima" w:hAnsi="Ebrima"/>
                <w:sz w:val="20"/>
                <w:szCs w:val="20"/>
              </w:rPr>
            </w:pPr>
          </w:p>
        </w:tc>
        <w:tc>
          <w:tcPr>
            <w:tcW w:w="4796" w:type="dxa"/>
            <w:vMerge/>
          </w:tcPr>
          <w:p w:rsidR="00CB1997" w:rsidRPr="000C586E" w:rsidRDefault="00CB1997" w:rsidP="00CB1997">
            <w:pPr>
              <w:spacing w:after="60"/>
              <w:rPr>
                <w:rFonts w:ascii="Ebrima" w:hAnsi="Ebrima"/>
                <w:sz w:val="20"/>
                <w:szCs w:val="20"/>
              </w:rPr>
            </w:pPr>
          </w:p>
        </w:tc>
        <w:tc>
          <w:tcPr>
            <w:tcW w:w="4701" w:type="dxa"/>
          </w:tcPr>
          <w:p w:rsidR="00CB1997" w:rsidRPr="000C586E" w:rsidRDefault="00CB1997" w:rsidP="00CB1997">
            <w:pPr>
              <w:spacing w:after="60"/>
              <w:rPr>
                <w:rFonts w:ascii="Ebrima" w:hAnsi="Ebrima"/>
                <w:sz w:val="20"/>
                <w:szCs w:val="20"/>
              </w:rPr>
            </w:pPr>
            <w:r w:rsidRPr="000C586E">
              <w:rPr>
                <w:rFonts w:ascii="Ebrima" w:hAnsi="Ebrima"/>
                <w:sz w:val="20"/>
                <w:szCs w:val="20"/>
              </w:rPr>
              <w:t>Tectonic hazards</w:t>
            </w:r>
          </w:p>
        </w:tc>
      </w:tr>
      <w:tr w:rsidR="00CB1997" w:rsidRPr="000C586E" w:rsidTr="000D5280">
        <w:tc>
          <w:tcPr>
            <w:tcW w:w="13716" w:type="dxa"/>
            <w:gridSpan w:val="3"/>
            <w:shd w:val="clear" w:color="auto" w:fill="D9D9D9" w:themeFill="background1" w:themeFillShade="D9"/>
          </w:tcPr>
          <w:p w:rsidR="00CB1997" w:rsidRPr="000C586E" w:rsidRDefault="00CB1997" w:rsidP="00CB1997">
            <w:pPr>
              <w:spacing w:after="60"/>
              <w:rPr>
                <w:rFonts w:ascii="Ebrima" w:hAnsi="Ebrima"/>
                <w:sz w:val="20"/>
                <w:szCs w:val="20"/>
              </w:rPr>
            </w:pPr>
            <w:r w:rsidRPr="000C586E">
              <w:rPr>
                <w:rFonts w:ascii="Ebrima" w:hAnsi="Ebrima"/>
                <w:sz w:val="20"/>
                <w:szCs w:val="20"/>
              </w:rPr>
              <w:t>There is a good opportunity here for visual learning and the investigation of particular events. This area of study lends itself to a wide range of teaching and learning methods, including group work, individual research and presentations and the development of GIS skills. There are also issue-evaluation opportunities, clearly expressed in the two-year scheme of work.</w:t>
            </w:r>
          </w:p>
        </w:tc>
      </w:tr>
    </w:tbl>
    <w:p w:rsidR="00CB1997" w:rsidRPr="000C586E" w:rsidRDefault="00CB1997">
      <w:pPr>
        <w:rPr>
          <w:rFonts w:ascii="Ebrima" w:hAnsi="Ebrima"/>
          <w:sz w:val="22"/>
          <w:szCs w:val="22"/>
        </w:rPr>
      </w:pPr>
    </w:p>
    <w:p w:rsidR="00CB1997" w:rsidRPr="000C586E" w:rsidRDefault="00CB1997">
      <w:pPr>
        <w:rPr>
          <w:rFonts w:ascii="Ebrima" w:hAnsi="Ebrima"/>
          <w:sz w:val="22"/>
          <w:szCs w:val="22"/>
        </w:rPr>
      </w:pPr>
      <w:r w:rsidRPr="000C586E">
        <w:rPr>
          <w:rFonts w:ascii="Ebrima" w:hAnsi="Ebrima"/>
          <w:sz w:val="22"/>
          <w:szCs w:val="22"/>
        </w:rPr>
        <w:br w:type="page"/>
      </w:r>
    </w:p>
    <w:tbl>
      <w:tblPr>
        <w:tblStyle w:val="TableGrid"/>
        <w:tblW w:w="13716" w:type="dxa"/>
        <w:tblLayout w:type="fixed"/>
        <w:tblLook w:val="04A0" w:firstRow="1" w:lastRow="0" w:firstColumn="1" w:lastColumn="0" w:noHBand="0" w:noVBand="1"/>
      </w:tblPr>
      <w:tblGrid>
        <w:gridCol w:w="4219"/>
        <w:gridCol w:w="4796"/>
        <w:gridCol w:w="4701"/>
      </w:tblGrid>
      <w:tr w:rsidR="004A137D" w:rsidRPr="000C586E" w:rsidTr="003839AF">
        <w:trPr>
          <w:cantSplit/>
        </w:trPr>
        <w:tc>
          <w:tcPr>
            <w:tcW w:w="13716" w:type="dxa"/>
            <w:gridSpan w:val="3"/>
            <w:shd w:val="clear" w:color="auto" w:fill="008996"/>
          </w:tcPr>
          <w:p w:rsidR="004A137D" w:rsidRPr="000C586E" w:rsidRDefault="004A137D" w:rsidP="003839AF">
            <w:pPr>
              <w:spacing w:after="60"/>
              <w:rPr>
                <w:rFonts w:ascii="Ebrima" w:hAnsi="Ebrima"/>
                <w:color w:val="FFFFFF" w:themeColor="background1"/>
                <w:sz w:val="20"/>
                <w:szCs w:val="20"/>
              </w:rPr>
            </w:pPr>
            <w:r w:rsidRPr="000C586E">
              <w:rPr>
                <w:rFonts w:ascii="Ebrima" w:hAnsi="Ebrima"/>
                <w:b/>
                <w:color w:val="FFFFFF" w:themeColor="background1"/>
                <w:sz w:val="20"/>
                <w:szCs w:val="20"/>
              </w:rPr>
              <w:lastRenderedPageBreak/>
              <w:t>Spring term</w:t>
            </w:r>
          </w:p>
        </w:tc>
      </w:tr>
      <w:tr w:rsidR="00CB1997" w:rsidRPr="000C586E" w:rsidTr="003839AF">
        <w:tc>
          <w:tcPr>
            <w:tcW w:w="4219" w:type="dxa"/>
            <w:vMerge w:val="restart"/>
          </w:tcPr>
          <w:p w:rsidR="00CB1997" w:rsidRPr="000C586E" w:rsidRDefault="00CB1997" w:rsidP="00CB1997">
            <w:pPr>
              <w:rPr>
                <w:rFonts w:ascii="Ebrima" w:hAnsi="Ebrima"/>
                <w:sz w:val="20"/>
                <w:szCs w:val="20"/>
              </w:rPr>
            </w:pPr>
            <w:r w:rsidRPr="000C586E">
              <w:rPr>
                <w:rFonts w:ascii="Ebrima" w:hAnsi="Ebrima"/>
                <w:sz w:val="20"/>
                <w:szCs w:val="20"/>
              </w:rPr>
              <w:t>Living with the physical environment</w:t>
            </w:r>
          </w:p>
        </w:tc>
        <w:tc>
          <w:tcPr>
            <w:tcW w:w="4796" w:type="dxa"/>
            <w:vMerge w:val="restart"/>
          </w:tcPr>
          <w:p w:rsidR="00CB1997" w:rsidRPr="000C586E" w:rsidRDefault="00CB1997" w:rsidP="00CB1997">
            <w:pPr>
              <w:spacing w:after="60"/>
              <w:rPr>
                <w:rFonts w:ascii="Ebrima" w:hAnsi="Ebrima"/>
                <w:sz w:val="20"/>
                <w:szCs w:val="20"/>
              </w:rPr>
            </w:pPr>
            <w:r w:rsidRPr="000C586E">
              <w:rPr>
                <w:rFonts w:ascii="Ebrima" w:hAnsi="Ebrima"/>
                <w:sz w:val="20"/>
                <w:szCs w:val="20"/>
              </w:rPr>
              <w:t>Section A – The challenge of natural hazards</w:t>
            </w:r>
          </w:p>
        </w:tc>
        <w:tc>
          <w:tcPr>
            <w:tcW w:w="4701" w:type="dxa"/>
          </w:tcPr>
          <w:p w:rsidR="00CB1997" w:rsidRPr="000C586E" w:rsidRDefault="00CB1997" w:rsidP="00CB1997">
            <w:pPr>
              <w:spacing w:after="60"/>
              <w:rPr>
                <w:rFonts w:ascii="Ebrima" w:hAnsi="Ebrima"/>
                <w:sz w:val="20"/>
                <w:szCs w:val="20"/>
              </w:rPr>
            </w:pPr>
            <w:r w:rsidRPr="000C586E">
              <w:rPr>
                <w:rFonts w:ascii="Ebrima" w:hAnsi="Ebrima"/>
                <w:sz w:val="20"/>
                <w:szCs w:val="20"/>
              </w:rPr>
              <w:t xml:space="preserve">Weather hazards </w:t>
            </w:r>
          </w:p>
          <w:p w:rsidR="00CB1997" w:rsidRPr="000C586E" w:rsidRDefault="00CB1997" w:rsidP="00CB1997">
            <w:pPr>
              <w:spacing w:after="60"/>
              <w:rPr>
                <w:rFonts w:ascii="Ebrima" w:hAnsi="Ebrima"/>
                <w:i/>
                <w:sz w:val="20"/>
                <w:szCs w:val="20"/>
              </w:rPr>
            </w:pPr>
            <w:r w:rsidRPr="000C586E">
              <w:rPr>
                <w:rFonts w:ascii="Ebrima" w:hAnsi="Ebrima"/>
                <w:i/>
                <w:sz w:val="20"/>
                <w:szCs w:val="20"/>
              </w:rPr>
              <w:t>This may or may not be an appropriate time to consider global atmospheric circulation</w:t>
            </w:r>
          </w:p>
        </w:tc>
      </w:tr>
      <w:tr w:rsidR="00CB1997" w:rsidRPr="000C586E" w:rsidTr="003839AF">
        <w:tc>
          <w:tcPr>
            <w:tcW w:w="4219" w:type="dxa"/>
            <w:vMerge/>
          </w:tcPr>
          <w:p w:rsidR="00CB1997" w:rsidRPr="000C586E" w:rsidRDefault="00CB1997" w:rsidP="00CB1997">
            <w:pPr>
              <w:spacing w:after="60"/>
              <w:rPr>
                <w:rFonts w:ascii="Ebrima" w:hAnsi="Ebrima"/>
                <w:sz w:val="20"/>
                <w:szCs w:val="20"/>
              </w:rPr>
            </w:pPr>
          </w:p>
        </w:tc>
        <w:tc>
          <w:tcPr>
            <w:tcW w:w="4796" w:type="dxa"/>
            <w:vMerge/>
          </w:tcPr>
          <w:p w:rsidR="00CB1997" w:rsidRPr="000C586E" w:rsidRDefault="00CB1997" w:rsidP="00CB1997">
            <w:pPr>
              <w:spacing w:after="60"/>
              <w:rPr>
                <w:rFonts w:ascii="Ebrima" w:hAnsi="Ebrima"/>
                <w:sz w:val="20"/>
                <w:szCs w:val="20"/>
              </w:rPr>
            </w:pPr>
          </w:p>
        </w:tc>
        <w:tc>
          <w:tcPr>
            <w:tcW w:w="4701" w:type="dxa"/>
          </w:tcPr>
          <w:p w:rsidR="00CB1997" w:rsidRPr="000C586E" w:rsidRDefault="00CB1997" w:rsidP="00CB1997">
            <w:pPr>
              <w:spacing w:after="60"/>
              <w:rPr>
                <w:rFonts w:ascii="Ebrima" w:hAnsi="Ebrima"/>
                <w:sz w:val="20"/>
                <w:szCs w:val="20"/>
              </w:rPr>
            </w:pPr>
            <w:r w:rsidRPr="000C586E">
              <w:rPr>
                <w:rFonts w:ascii="Ebrima" w:hAnsi="Ebrima"/>
                <w:sz w:val="20"/>
                <w:szCs w:val="20"/>
              </w:rPr>
              <w:t>Extreme weather in the UK</w:t>
            </w:r>
          </w:p>
        </w:tc>
      </w:tr>
      <w:tr w:rsidR="00CB1997" w:rsidRPr="000C586E" w:rsidTr="000D5280">
        <w:tc>
          <w:tcPr>
            <w:tcW w:w="13716" w:type="dxa"/>
            <w:gridSpan w:val="3"/>
            <w:shd w:val="clear" w:color="auto" w:fill="D9D9D9" w:themeFill="background1" w:themeFillShade="D9"/>
          </w:tcPr>
          <w:p w:rsidR="00CB1997" w:rsidRPr="000C586E" w:rsidRDefault="00CB1997" w:rsidP="00CB1997">
            <w:pPr>
              <w:spacing w:after="60"/>
              <w:rPr>
                <w:rFonts w:ascii="Ebrima" w:hAnsi="Ebrima"/>
                <w:sz w:val="20"/>
                <w:szCs w:val="20"/>
              </w:rPr>
            </w:pPr>
            <w:r w:rsidRPr="000C586E">
              <w:rPr>
                <w:rFonts w:ascii="Ebrima" w:hAnsi="Ebrima"/>
                <w:sz w:val="20"/>
                <w:szCs w:val="20"/>
              </w:rPr>
              <w:t>There is a good opportunity here for visual learning and the investigation of particular events. This area of study lends itself to a wide range of teaching and learning methods, including group work, individual research and presentations and the development of GIS skills. There are also issue-evaluation opportunities, clearly expressed in the two-year scheme of work. At some time during the winter there will almost certainly have been an example of extreme weather in the UK. This can be used as an example of ‘a recent UK extreme weather event’. Having lived through this event and then spent some time studying it students are more likely to remember it.</w:t>
            </w:r>
          </w:p>
        </w:tc>
      </w:tr>
    </w:tbl>
    <w:p w:rsidR="00B22174" w:rsidRPr="000C586E" w:rsidRDefault="00B22174" w:rsidP="00B22174">
      <w:pPr>
        <w:spacing w:afterLines="120" w:after="288"/>
        <w:rPr>
          <w:rFonts w:ascii="Ebrima" w:hAnsi="Ebrima"/>
          <w:sz w:val="22"/>
          <w:szCs w:val="22"/>
        </w:rPr>
      </w:pPr>
    </w:p>
    <w:tbl>
      <w:tblPr>
        <w:tblStyle w:val="TableGrid"/>
        <w:tblW w:w="13716" w:type="dxa"/>
        <w:tblLayout w:type="fixed"/>
        <w:tblLook w:val="04A0" w:firstRow="1" w:lastRow="0" w:firstColumn="1" w:lastColumn="0" w:noHBand="0" w:noVBand="1"/>
      </w:tblPr>
      <w:tblGrid>
        <w:gridCol w:w="4219"/>
        <w:gridCol w:w="4796"/>
        <w:gridCol w:w="4701"/>
      </w:tblGrid>
      <w:tr w:rsidR="004A137D" w:rsidRPr="000C586E" w:rsidTr="003839AF">
        <w:trPr>
          <w:cantSplit/>
        </w:trPr>
        <w:tc>
          <w:tcPr>
            <w:tcW w:w="13716" w:type="dxa"/>
            <w:gridSpan w:val="3"/>
            <w:shd w:val="clear" w:color="auto" w:fill="008996"/>
          </w:tcPr>
          <w:p w:rsidR="004A137D" w:rsidRPr="000C586E" w:rsidRDefault="004A137D" w:rsidP="003839AF">
            <w:pPr>
              <w:spacing w:after="60"/>
              <w:rPr>
                <w:rFonts w:ascii="Ebrima" w:hAnsi="Ebrima"/>
                <w:color w:val="FFFFFF" w:themeColor="background1"/>
                <w:sz w:val="20"/>
                <w:szCs w:val="20"/>
              </w:rPr>
            </w:pPr>
            <w:r w:rsidRPr="000C586E">
              <w:rPr>
                <w:rFonts w:ascii="Ebrima" w:hAnsi="Ebrima"/>
                <w:b/>
                <w:color w:val="FFFFFF" w:themeColor="background1"/>
                <w:sz w:val="20"/>
                <w:szCs w:val="20"/>
              </w:rPr>
              <w:t>Summer term</w:t>
            </w:r>
          </w:p>
        </w:tc>
      </w:tr>
      <w:tr w:rsidR="00CB1997" w:rsidRPr="000C586E" w:rsidTr="00CB1997">
        <w:trPr>
          <w:trHeight w:val="319"/>
        </w:trPr>
        <w:tc>
          <w:tcPr>
            <w:tcW w:w="4219" w:type="dxa"/>
          </w:tcPr>
          <w:p w:rsidR="00CB1997" w:rsidRPr="000C586E" w:rsidRDefault="00CB1997" w:rsidP="00CB1997">
            <w:pPr>
              <w:rPr>
                <w:rFonts w:ascii="Ebrima" w:hAnsi="Ebrima"/>
                <w:sz w:val="20"/>
                <w:szCs w:val="20"/>
              </w:rPr>
            </w:pPr>
            <w:r w:rsidRPr="000C586E">
              <w:rPr>
                <w:rFonts w:ascii="Ebrima" w:hAnsi="Ebrima"/>
                <w:sz w:val="20"/>
                <w:szCs w:val="20"/>
              </w:rPr>
              <w:t>Living with the physical environment</w:t>
            </w:r>
          </w:p>
        </w:tc>
        <w:tc>
          <w:tcPr>
            <w:tcW w:w="4796" w:type="dxa"/>
          </w:tcPr>
          <w:p w:rsidR="00CB1997" w:rsidRPr="000C586E" w:rsidRDefault="00CB1997" w:rsidP="00CB1997">
            <w:pPr>
              <w:rPr>
                <w:rFonts w:ascii="Ebrima" w:hAnsi="Ebrima"/>
                <w:sz w:val="20"/>
                <w:szCs w:val="20"/>
              </w:rPr>
            </w:pPr>
            <w:r w:rsidRPr="000C586E">
              <w:rPr>
                <w:rFonts w:ascii="Ebrima" w:hAnsi="Ebrima"/>
                <w:sz w:val="20"/>
                <w:szCs w:val="20"/>
              </w:rPr>
              <w:t>Section A – The challenge of natural hazards</w:t>
            </w:r>
          </w:p>
        </w:tc>
        <w:tc>
          <w:tcPr>
            <w:tcW w:w="4701" w:type="dxa"/>
          </w:tcPr>
          <w:p w:rsidR="00CB1997" w:rsidRPr="000C586E" w:rsidRDefault="00CB1997" w:rsidP="00CB1997">
            <w:pPr>
              <w:rPr>
                <w:rFonts w:ascii="Ebrima" w:hAnsi="Ebrima"/>
                <w:sz w:val="20"/>
                <w:szCs w:val="20"/>
              </w:rPr>
            </w:pPr>
            <w:r w:rsidRPr="000C586E">
              <w:rPr>
                <w:rFonts w:ascii="Ebrima" w:hAnsi="Ebrima"/>
                <w:sz w:val="20"/>
                <w:szCs w:val="20"/>
              </w:rPr>
              <w:t>Climate change</w:t>
            </w:r>
          </w:p>
        </w:tc>
      </w:tr>
      <w:tr w:rsidR="00CF6486" w:rsidRPr="000C586E" w:rsidTr="000D5280">
        <w:tc>
          <w:tcPr>
            <w:tcW w:w="13716" w:type="dxa"/>
            <w:gridSpan w:val="3"/>
            <w:shd w:val="clear" w:color="auto" w:fill="D9D9D9" w:themeFill="background1" w:themeFillShade="D9"/>
          </w:tcPr>
          <w:p w:rsidR="00CF6486" w:rsidRPr="000C586E" w:rsidRDefault="00CF6486" w:rsidP="00CF6486">
            <w:pPr>
              <w:rPr>
                <w:rFonts w:ascii="Ebrima" w:hAnsi="Ebrima"/>
                <w:sz w:val="20"/>
                <w:szCs w:val="20"/>
              </w:rPr>
            </w:pPr>
            <w:r w:rsidRPr="000C586E">
              <w:rPr>
                <w:rFonts w:ascii="Ebrima" w:hAnsi="Ebrima"/>
                <w:sz w:val="20"/>
                <w:szCs w:val="20"/>
              </w:rPr>
              <w:t>Most students will have some understanding of this topic through their work in science. It is intended that it is a relatively short piece of work, perhaps 4 or 5 lessons (as expressed in the two-year structure).</w:t>
            </w:r>
          </w:p>
        </w:tc>
      </w:tr>
      <w:tr w:rsidR="004A137D" w:rsidRPr="000C586E" w:rsidTr="003839AF">
        <w:tc>
          <w:tcPr>
            <w:tcW w:w="4219" w:type="dxa"/>
          </w:tcPr>
          <w:p w:rsidR="004A137D" w:rsidRPr="000C586E" w:rsidRDefault="004A137D" w:rsidP="00CF6486">
            <w:pPr>
              <w:rPr>
                <w:rFonts w:ascii="Ebrima" w:hAnsi="Ebrima"/>
                <w:sz w:val="20"/>
                <w:szCs w:val="20"/>
              </w:rPr>
            </w:pPr>
          </w:p>
        </w:tc>
        <w:tc>
          <w:tcPr>
            <w:tcW w:w="4796" w:type="dxa"/>
          </w:tcPr>
          <w:p w:rsidR="004A137D" w:rsidRPr="000C586E" w:rsidRDefault="00CF6486" w:rsidP="00CF6486">
            <w:pPr>
              <w:rPr>
                <w:rFonts w:ascii="Ebrima" w:hAnsi="Ebrima"/>
                <w:sz w:val="20"/>
                <w:szCs w:val="20"/>
              </w:rPr>
            </w:pPr>
            <w:r w:rsidRPr="000C586E">
              <w:rPr>
                <w:rFonts w:ascii="Ebrima" w:hAnsi="Ebrima"/>
                <w:sz w:val="20"/>
                <w:szCs w:val="20"/>
              </w:rPr>
              <w:t>Section C – Physical landscapes in the UK</w:t>
            </w:r>
          </w:p>
        </w:tc>
        <w:tc>
          <w:tcPr>
            <w:tcW w:w="4701" w:type="dxa"/>
          </w:tcPr>
          <w:p w:rsidR="004A137D" w:rsidRPr="000C586E" w:rsidRDefault="004A137D" w:rsidP="003839AF">
            <w:pPr>
              <w:spacing w:after="60"/>
              <w:rPr>
                <w:rFonts w:ascii="Ebrima" w:hAnsi="Ebrima"/>
                <w:sz w:val="20"/>
                <w:szCs w:val="20"/>
              </w:rPr>
            </w:pPr>
          </w:p>
        </w:tc>
      </w:tr>
      <w:tr w:rsidR="00CF6486" w:rsidRPr="000C586E" w:rsidTr="000D5280">
        <w:tc>
          <w:tcPr>
            <w:tcW w:w="13716" w:type="dxa"/>
            <w:gridSpan w:val="3"/>
            <w:shd w:val="clear" w:color="auto" w:fill="D9D9D9" w:themeFill="background1" w:themeFillShade="D9"/>
          </w:tcPr>
          <w:p w:rsidR="00CF6486" w:rsidRPr="000C586E" w:rsidRDefault="00CF6486" w:rsidP="00CF6486">
            <w:pPr>
              <w:rPr>
                <w:rFonts w:ascii="Ebrima" w:hAnsi="Ebrima"/>
                <w:sz w:val="20"/>
                <w:szCs w:val="20"/>
              </w:rPr>
            </w:pPr>
            <w:r w:rsidRPr="000C586E">
              <w:rPr>
                <w:rFonts w:ascii="Ebrima" w:hAnsi="Ebrima"/>
                <w:sz w:val="20"/>
                <w:szCs w:val="20"/>
              </w:rPr>
              <w:t>It may be worth moving to Section C and looking at one of the two physical landscapes in the UK that need to be studied. The latter part of the summer term might be a good opportunity to complete one of these areas, especially if it is going to be a vehicle for one of the fieldwork elements. This would provide an excellent opportunity for fieldwork in a physical context and remove an element of time pressure from Year 10 and Year 11.</w:t>
            </w:r>
          </w:p>
        </w:tc>
      </w:tr>
    </w:tbl>
    <w:p w:rsidR="00CB1997" w:rsidRPr="000C586E" w:rsidRDefault="00CB1997" w:rsidP="00B22174">
      <w:pPr>
        <w:spacing w:afterLines="120" w:after="288"/>
        <w:rPr>
          <w:rFonts w:ascii="Ebrima" w:hAnsi="Ebrima"/>
          <w:sz w:val="20"/>
          <w:szCs w:val="20"/>
        </w:rPr>
      </w:pPr>
    </w:p>
    <w:p w:rsidR="00CB1997" w:rsidRPr="000C586E" w:rsidRDefault="00CB1997">
      <w:pPr>
        <w:rPr>
          <w:rFonts w:ascii="Ebrima" w:hAnsi="Ebrima"/>
          <w:sz w:val="20"/>
          <w:szCs w:val="20"/>
        </w:rPr>
      </w:pPr>
      <w:r w:rsidRPr="000C586E">
        <w:rPr>
          <w:rFonts w:ascii="Ebrima" w:hAnsi="Ebrima"/>
          <w:sz w:val="20"/>
          <w:szCs w:val="20"/>
        </w:rPr>
        <w:br w:type="page"/>
      </w:r>
    </w:p>
    <w:tbl>
      <w:tblPr>
        <w:tblStyle w:val="TableGrid"/>
        <w:tblW w:w="13716" w:type="dxa"/>
        <w:tblLayout w:type="fixed"/>
        <w:tblLook w:val="04A0" w:firstRow="1" w:lastRow="0" w:firstColumn="1" w:lastColumn="0" w:noHBand="0" w:noVBand="1"/>
      </w:tblPr>
      <w:tblGrid>
        <w:gridCol w:w="4219"/>
        <w:gridCol w:w="4796"/>
        <w:gridCol w:w="4701"/>
      </w:tblGrid>
      <w:tr w:rsidR="00CF6486" w:rsidRPr="000C586E" w:rsidTr="003839AF">
        <w:trPr>
          <w:cantSplit/>
        </w:trPr>
        <w:tc>
          <w:tcPr>
            <w:tcW w:w="13716" w:type="dxa"/>
            <w:gridSpan w:val="3"/>
            <w:shd w:val="clear" w:color="auto" w:fill="008996"/>
          </w:tcPr>
          <w:p w:rsidR="00CF6486" w:rsidRPr="000C586E" w:rsidRDefault="00CF6486" w:rsidP="00CF6486">
            <w:pPr>
              <w:spacing w:after="60"/>
              <w:rPr>
                <w:rFonts w:ascii="Ebrima" w:hAnsi="Ebrima"/>
                <w:color w:val="FFFFFF" w:themeColor="background1"/>
                <w:sz w:val="20"/>
                <w:szCs w:val="20"/>
              </w:rPr>
            </w:pPr>
            <w:r w:rsidRPr="000C586E">
              <w:rPr>
                <w:rFonts w:ascii="Ebrima" w:hAnsi="Ebrima"/>
                <w:b/>
                <w:color w:val="FFFFFF" w:themeColor="background1"/>
                <w:sz w:val="20"/>
                <w:szCs w:val="20"/>
              </w:rPr>
              <w:lastRenderedPageBreak/>
              <w:t xml:space="preserve">YEAR 2 (Year 10) </w:t>
            </w:r>
          </w:p>
        </w:tc>
      </w:tr>
      <w:tr w:rsidR="004A137D" w:rsidRPr="000C586E" w:rsidTr="003839AF">
        <w:trPr>
          <w:cantSplit/>
        </w:trPr>
        <w:tc>
          <w:tcPr>
            <w:tcW w:w="13716" w:type="dxa"/>
            <w:gridSpan w:val="3"/>
            <w:shd w:val="clear" w:color="auto" w:fill="008996"/>
          </w:tcPr>
          <w:p w:rsidR="004A137D" w:rsidRPr="000C586E" w:rsidRDefault="00CF6486" w:rsidP="003839AF">
            <w:pPr>
              <w:spacing w:after="60"/>
              <w:rPr>
                <w:rFonts w:ascii="Ebrima" w:hAnsi="Ebrima"/>
                <w:color w:val="FFFFFF" w:themeColor="background1"/>
                <w:sz w:val="20"/>
                <w:szCs w:val="20"/>
              </w:rPr>
            </w:pPr>
            <w:r w:rsidRPr="000C586E">
              <w:rPr>
                <w:rFonts w:ascii="Ebrima" w:hAnsi="Ebrima"/>
                <w:b/>
                <w:color w:val="FFFFFF" w:themeColor="background1"/>
                <w:sz w:val="20"/>
                <w:szCs w:val="20"/>
              </w:rPr>
              <w:t>Autumn</w:t>
            </w:r>
            <w:r w:rsidR="004A137D" w:rsidRPr="000C586E">
              <w:rPr>
                <w:rFonts w:ascii="Ebrima" w:hAnsi="Ebrima"/>
                <w:b/>
                <w:color w:val="FFFFFF" w:themeColor="background1"/>
                <w:sz w:val="20"/>
                <w:szCs w:val="20"/>
              </w:rPr>
              <w:t xml:space="preserve"> term</w:t>
            </w:r>
          </w:p>
        </w:tc>
      </w:tr>
      <w:tr w:rsidR="00CB1997" w:rsidRPr="000C586E" w:rsidTr="003839AF">
        <w:tc>
          <w:tcPr>
            <w:tcW w:w="4219" w:type="dxa"/>
            <w:vMerge w:val="restart"/>
          </w:tcPr>
          <w:p w:rsidR="00CB1997" w:rsidRPr="000C586E" w:rsidRDefault="00CB1997" w:rsidP="00CF6486">
            <w:pPr>
              <w:rPr>
                <w:rFonts w:ascii="Ebrima" w:hAnsi="Ebrima"/>
                <w:sz w:val="20"/>
                <w:szCs w:val="20"/>
              </w:rPr>
            </w:pPr>
            <w:r w:rsidRPr="000C586E">
              <w:rPr>
                <w:rFonts w:ascii="Ebrima" w:hAnsi="Ebrima"/>
                <w:sz w:val="20"/>
                <w:szCs w:val="20"/>
              </w:rPr>
              <w:t>Living with the physical environment</w:t>
            </w:r>
          </w:p>
        </w:tc>
        <w:tc>
          <w:tcPr>
            <w:tcW w:w="4796" w:type="dxa"/>
          </w:tcPr>
          <w:p w:rsidR="00CB1997" w:rsidRPr="000C586E" w:rsidRDefault="00CB1997" w:rsidP="00CF6486">
            <w:pPr>
              <w:rPr>
                <w:rFonts w:ascii="Ebrima" w:hAnsi="Ebrima"/>
                <w:sz w:val="20"/>
                <w:szCs w:val="20"/>
              </w:rPr>
            </w:pPr>
            <w:r w:rsidRPr="000C586E">
              <w:rPr>
                <w:rFonts w:ascii="Ebrima" w:hAnsi="Ebrima"/>
                <w:sz w:val="20"/>
                <w:szCs w:val="20"/>
              </w:rPr>
              <w:t>Section C – Physical landscapes in the UK</w:t>
            </w:r>
          </w:p>
        </w:tc>
        <w:tc>
          <w:tcPr>
            <w:tcW w:w="4701" w:type="dxa"/>
          </w:tcPr>
          <w:p w:rsidR="00CB1997" w:rsidRPr="000C586E" w:rsidRDefault="00CB1997" w:rsidP="00CF6486">
            <w:pPr>
              <w:rPr>
                <w:rFonts w:ascii="Ebrima" w:hAnsi="Ebrima"/>
                <w:sz w:val="20"/>
                <w:szCs w:val="20"/>
              </w:rPr>
            </w:pPr>
            <w:r w:rsidRPr="000C586E">
              <w:rPr>
                <w:rFonts w:ascii="Ebrima" w:hAnsi="Ebrima"/>
                <w:sz w:val="20"/>
                <w:szCs w:val="20"/>
              </w:rPr>
              <w:t>Complete the second UK physical landscape</w:t>
            </w:r>
          </w:p>
        </w:tc>
      </w:tr>
      <w:tr w:rsidR="00CB1997" w:rsidRPr="000C586E" w:rsidTr="003839AF">
        <w:tc>
          <w:tcPr>
            <w:tcW w:w="4219" w:type="dxa"/>
            <w:vMerge/>
          </w:tcPr>
          <w:p w:rsidR="00CB1997" w:rsidRPr="000C586E" w:rsidRDefault="00CB1997" w:rsidP="00CB1997">
            <w:pPr>
              <w:rPr>
                <w:rFonts w:ascii="Ebrima" w:hAnsi="Ebrima"/>
                <w:sz w:val="20"/>
                <w:szCs w:val="20"/>
              </w:rPr>
            </w:pPr>
          </w:p>
        </w:tc>
        <w:tc>
          <w:tcPr>
            <w:tcW w:w="4796" w:type="dxa"/>
            <w:vMerge w:val="restart"/>
          </w:tcPr>
          <w:p w:rsidR="00CB1997" w:rsidRPr="000C586E" w:rsidRDefault="00CB1997" w:rsidP="00CB1997">
            <w:pPr>
              <w:rPr>
                <w:rFonts w:ascii="Ebrima" w:hAnsi="Ebrima"/>
                <w:sz w:val="20"/>
                <w:szCs w:val="20"/>
              </w:rPr>
            </w:pPr>
            <w:r w:rsidRPr="000C586E">
              <w:rPr>
                <w:rFonts w:ascii="Ebrima" w:hAnsi="Ebrima"/>
                <w:sz w:val="20"/>
                <w:szCs w:val="20"/>
              </w:rPr>
              <w:t>Section B – The living world</w:t>
            </w:r>
          </w:p>
        </w:tc>
        <w:tc>
          <w:tcPr>
            <w:tcW w:w="4701" w:type="dxa"/>
          </w:tcPr>
          <w:p w:rsidR="00CB1997" w:rsidRPr="000C586E" w:rsidRDefault="00CB1997" w:rsidP="00CB1997">
            <w:pPr>
              <w:rPr>
                <w:rFonts w:ascii="Ebrima" w:hAnsi="Ebrima"/>
                <w:sz w:val="20"/>
                <w:szCs w:val="20"/>
              </w:rPr>
            </w:pPr>
            <w:r w:rsidRPr="000C586E">
              <w:rPr>
                <w:rFonts w:ascii="Ebrima" w:hAnsi="Ebrima"/>
                <w:sz w:val="20"/>
                <w:szCs w:val="20"/>
              </w:rPr>
              <w:t>Introduction to ecosystems</w:t>
            </w:r>
          </w:p>
        </w:tc>
      </w:tr>
      <w:tr w:rsidR="00CB1997" w:rsidRPr="000C586E" w:rsidTr="003839AF">
        <w:tc>
          <w:tcPr>
            <w:tcW w:w="4219" w:type="dxa"/>
            <w:vMerge/>
          </w:tcPr>
          <w:p w:rsidR="00CB1997" w:rsidRPr="000C586E" w:rsidRDefault="00CB1997" w:rsidP="00CB1997">
            <w:pPr>
              <w:rPr>
                <w:rFonts w:ascii="Ebrima" w:hAnsi="Ebrima"/>
                <w:sz w:val="20"/>
                <w:szCs w:val="20"/>
              </w:rPr>
            </w:pPr>
          </w:p>
        </w:tc>
        <w:tc>
          <w:tcPr>
            <w:tcW w:w="4796" w:type="dxa"/>
            <w:vMerge/>
          </w:tcPr>
          <w:p w:rsidR="00CB1997" w:rsidRPr="000C586E" w:rsidRDefault="00CB1997" w:rsidP="00CB1997">
            <w:pPr>
              <w:rPr>
                <w:rFonts w:ascii="Ebrima" w:hAnsi="Ebrima"/>
                <w:sz w:val="20"/>
                <w:szCs w:val="20"/>
              </w:rPr>
            </w:pPr>
          </w:p>
        </w:tc>
        <w:tc>
          <w:tcPr>
            <w:tcW w:w="4701" w:type="dxa"/>
          </w:tcPr>
          <w:p w:rsidR="00CB1997" w:rsidRPr="000C586E" w:rsidRDefault="00CB1997" w:rsidP="00CB1997">
            <w:pPr>
              <w:rPr>
                <w:rFonts w:ascii="Ebrima" w:hAnsi="Ebrima"/>
                <w:sz w:val="20"/>
                <w:szCs w:val="20"/>
              </w:rPr>
            </w:pPr>
            <w:r w:rsidRPr="000C586E">
              <w:rPr>
                <w:rFonts w:ascii="Ebrima" w:hAnsi="Ebrima"/>
                <w:sz w:val="20"/>
                <w:szCs w:val="20"/>
              </w:rPr>
              <w:t xml:space="preserve">Example of a small scale UK Ecosystem </w:t>
            </w:r>
          </w:p>
          <w:p w:rsidR="00CB1997" w:rsidRPr="000C586E" w:rsidRDefault="00CB1997" w:rsidP="00CB1997">
            <w:pPr>
              <w:rPr>
                <w:rFonts w:ascii="Ebrima" w:hAnsi="Ebrima"/>
                <w:i/>
                <w:sz w:val="20"/>
                <w:szCs w:val="20"/>
              </w:rPr>
            </w:pPr>
            <w:r w:rsidRPr="000C586E">
              <w:rPr>
                <w:rFonts w:ascii="Ebrima" w:hAnsi="Ebrima"/>
                <w:i/>
                <w:sz w:val="20"/>
                <w:szCs w:val="20"/>
              </w:rPr>
              <w:t>This could link to physical landscape, e.g. salt marsh/sand dunes</w:t>
            </w:r>
          </w:p>
        </w:tc>
      </w:tr>
      <w:tr w:rsidR="00CB1997" w:rsidRPr="000C586E" w:rsidTr="003839AF">
        <w:tc>
          <w:tcPr>
            <w:tcW w:w="4219" w:type="dxa"/>
            <w:vMerge/>
          </w:tcPr>
          <w:p w:rsidR="00CB1997" w:rsidRPr="000C586E" w:rsidRDefault="00CB1997" w:rsidP="00CB1997">
            <w:pPr>
              <w:rPr>
                <w:rFonts w:ascii="Ebrima" w:hAnsi="Ebrima"/>
                <w:sz w:val="20"/>
                <w:szCs w:val="20"/>
              </w:rPr>
            </w:pPr>
          </w:p>
        </w:tc>
        <w:tc>
          <w:tcPr>
            <w:tcW w:w="4796" w:type="dxa"/>
            <w:vMerge/>
          </w:tcPr>
          <w:p w:rsidR="00CB1997" w:rsidRPr="000C586E" w:rsidRDefault="00CB1997" w:rsidP="00CB1997">
            <w:pPr>
              <w:rPr>
                <w:rFonts w:ascii="Ebrima" w:hAnsi="Ebrima"/>
                <w:sz w:val="20"/>
                <w:szCs w:val="20"/>
              </w:rPr>
            </w:pPr>
          </w:p>
        </w:tc>
        <w:tc>
          <w:tcPr>
            <w:tcW w:w="4701" w:type="dxa"/>
          </w:tcPr>
          <w:p w:rsidR="00CB1997" w:rsidRPr="000C586E" w:rsidRDefault="00CB1997" w:rsidP="00CB1997">
            <w:pPr>
              <w:rPr>
                <w:rFonts w:ascii="Ebrima" w:hAnsi="Ebrima"/>
                <w:sz w:val="20"/>
                <w:szCs w:val="20"/>
              </w:rPr>
            </w:pPr>
            <w:r w:rsidRPr="000C586E">
              <w:rPr>
                <w:rFonts w:ascii="Ebrima" w:hAnsi="Ebrima"/>
                <w:sz w:val="20"/>
                <w:szCs w:val="20"/>
              </w:rPr>
              <w:t>Study of tropical rainforests</w:t>
            </w:r>
          </w:p>
        </w:tc>
      </w:tr>
      <w:tr w:rsidR="00CB1997" w:rsidRPr="000C586E" w:rsidTr="003839AF">
        <w:tc>
          <w:tcPr>
            <w:tcW w:w="4219" w:type="dxa"/>
            <w:vMerge/>
          </w:tcPr>
          <w:p w:rsidR="00CB1997" w:rsidRPr="000C586E" w:rsidRDefault="00CB1997" w:rsidP="00CB1997">
            <w:pPr>
              <w:rPr>
                <w:rFonts w:ascii="Ebrima" w:hAnsi="Ebrima"/>
                <w:sz w:val="20"/>
                <w:szCs w:val="20"/>
              </w:rPr>
            </w:pPr>
          </w:p>
        </w:tc>
        <w:tc>
          <w:tcPr>
            <w:tcW w:w="4796" w:type="dxa"/>
            <w:vMerge/>
          </w:tcPr>
          <w:p w:rsidR="00CB1997" w:rsidRPr="000C586E" w:rsidRDefault="00CB1997" w:rsidP="00CB1997">
            <w:pPr>
              <w:rPr>
                <w:rFonts w:ascii="Ebrima" w:hAnsi="Ebrima"/>
                <w:sz w:val="20"/>
                <w:szCs w:val="20"/>
              </w:rPr>
            </w:pPr>
          </w:p>
        </w:tc>
        <w:tc>
          <w:tcPr>
            <w:tcW w:w="4701" w:type="dxa"/>
          </w:tcPr>
          <w:p w:rsidR="00CB1997" w:rsidRPr="000C586E" w:rsidRDefault="00CB1997" w:rsidP="00CB1997">
            <w:pPr>
              <w:rPr>
                <w:rFonts w:ascii="Ebrima" w:hAnsi="Ebrima"/>
                <w:sz w:val="20"/>
                <w:szCs w:val="20"/>
              </w:rPr>
            </w:pPr>
            <w:r w:rsidRPr="000C586E">
              <w:rPr>
                <w:rFonts w:ascii="Ebrima" w:hAnsi="Ebrima"/>
                <w:sz w:val="20"/>
                <w:szCs w:val="20"/>
              </w:rPr>
              <w:t>Study of hot deserts OR cold environments</w:t>
            </w:r>
          </w:p>
        </w:tc>
      </w:tr>
    </w:tbl>
    <w:p w:rsidR="004A137D" w:rsidRPr="000C586E" w:rsidRDefault="004A137D" w:rsidP="00B22174">
      <w:pPr>
        <w:spacing w:afterLines="120" w:after="288"/>
        <w:rPr>
          <w:rFonts w:ascii="Ebrima" w:hAnsi="Ebrima"/>
          <w:sz w:val="20"/>
          <w:szCs w:val="20"/>
        </w:rPr>
      </w:pPr>
    </w:p>
    <w:tbl>
      <w:tblPr>
        <w:tblStyle w:val="TableGrid"/>
        <w:tblW w:w="13716" w:type="dxa"/>
        <w:tblLayout w:type="fixed"/>
        <w:tblLook w:val="04A0" w:firstRow="1" w:lastRow="0" w:firstColumn="1" w:lastColumn="0" w:noHBand="0" w:noVBand="1"/>
      </w:tblPr>
      <w:tblGrid>
        <w:gridCol w:w="4219"/>
        <w:gridCol w:w="4796"/>
        <w:gridCol w:w="4701"/>
      </w:tblGrid>
      <w:tr w:rsidR="004A137D" w:rsidRPr="000C586E" w:rsidTr="003839AF">
        <w:trPr>
          <w:cantSplit/>
        </w:trPr>
        <w:tc>
          <w:tcPr>
            <w:tcW w:w="13716" w:type="dxa"/>
            <w:gridSpan w:val="3"/>
            <w:shd w:val="clear" w:color="auto" w:fill="008996"/>
          </w:tcPr>
          <w:p w:rsidR="004A137D" w:rsidRPr="000C586E" w:rsidRDefault="004A137D" w:rsidP="003839AF">
            <w:pPr>
              <w:spacing w:after="60"/>
              <w:rPr>
                <w:rFonts w:ascii="Ebrima" w:hAnsi="Ebrima"/>
                <w:color w:val="FFFFFF" w:themeColor="background1"/>
                <w:sz w:val="20"/>
                <w:szCs w:val="20"/>
              </w:rPr>
            </w:pPr>
            <w:r w:rsidRPr="000C586E">
              <w:rPr>
                <w:rFonts w:ascii="Ebrima" w:hAnsi="Ebrima"/>
                <w:b/>
                <w:color w:val="FFFFFF" w:themeColor="background1"/>
                <w:sz w:val="20"/>
                <w:szCs w:val="20"/>
              </w:rPr>
              <w:t>Spring term</w:t>
            </w:r>
          </w:p>
        </w:tc>
      </w:tr>
      <w:tr w:rsidR="00CB1997" w:rsidRPr="000C586E" w:rsidTr="003839AF">
        <w:tc>
          <w:tcPr>
            <w:tcW w:w="4219" w:type="dxa"/>
          </w:tcPr>
          <w:p w:rsidR="00CB1997" w:rsidRPr="000C586E" w:rsidRDefault="00CB1997" w:rsidP="00CB1997">
            <w:pPr>
              <w:rPr>
                <w:rFonts w:ascii="Ebrima" w:hAnsi="Ebrima"/>
                <w:sz w:val="20"/>
                <w:szCs w:val="20"/>
              </w:rPr>
            </w:pPr>
            <w:r w:rsidRPr="000C586E">
              <w:rPr>
                <w:rFonts w:ascii="Ebrima" w:hAnsi="Ebrima"/>
                <w:sz w:val="20"/>
                <w:szCs w:val="20"/>
              </w:rPr>
              <w:t>Living with the physical environment</w:t>
            </w:r>
          </w:p>
        </w:tc>
        <w:tc>
          <w:tcPr>
            <w:tcW w:w="4796" w:type="dxa"/>
          </w:tcPr>
          <w:p w:rsidR="00CB1997" w:rsidRPr="000C586E" w:rsidRDefault="00CB1997" w:rsidP="00CB1997">
            <w:pPr>
              <w:rPr>
                <w:rFonts w:ascii="Ebrima" w:hAnsi="Ebrima"/>
                <w:sz w:val="20"/>
                <w:szCs w:val="20"/>
              </w:rPr>
            </w:pPr>
            <w:r w:rsidRPr="000C586E">
              <w:rPr>
                <w:rFonts w:ascii="Ebrima" w:hAnsi="Ebrima"/>
                <w:sz w:val="20"/>
                <w:szCs w:val="20"/>
              </w:rPr>
              <w:t>Review of the Unit (could have an end of unit assessment to identify strengths/areas for development/reflection)</w:t>
            </w:r>
          </w:p>
        </w:tc>
        <w:tc>
          <w:tcPr>
            <w:tcW w:w="4701" w:type="dxa"/>
          </w:tcPr>
          <w:p w:rsidR="00CB1997" w:rsidRPr="000C586E" w:rsidRDefault="00CB1997" w:rsidP="00CB1997">
            <w:pPr>
              <w:spacing w:after="60"/>
              <w:rPr>
                <w:rFonts w:ascii="Ebrima" w:hAnsi="Ebrima"/>
                <w:sz w:val="20"/>
                <w:szCs w:val="20"/>
              </w:rPr>
            </w:pPr>
          </w:p>
        </w:tc>
      </w:tr>
      <w:tr w:rsidR="00CB1997" w:rsidRPr="000C586E" w:rsidTr="003839AF">
        <w:tc>
          <w:tcPr>
            <w:tcW w:w="4219" w:type="dxa"/>
            <w:vMerge w:val="restart"/>
          </w:tcPr>
          <w:p w:rsidR="00CB1997" w:rsidRPr="000C586E" w:rsidRDefault="00CB1997" w:rsidP="00CB1997">
            <w:pPr>
              <w:spacing w:after="60"/>
              <w:rPr>
                <w:rFonts w:ascii="Ebrima" w:hAnsi="Ebrima"/>
                <w:sz w:val="20"/>
                <w:szCs w:val="20"/>
              </w:rPr>
            </w:pPr>
            <w:r w:rsidRPr="000C586E">
              <w:rPr>
                <w:rFonts w:ascii="Ebrima" w:hAnsi="Ebrima"/>
                <w:sz w:val="20"/>
                <w:szCs w:val="20"/>
              </w:rPr>
              <w:t>Challenges in the human environment</w:t>
            </w:r>
          </w:p>
        </w:tc>
        <w:tc>
          <w:tcPr>
            <w:tcW w:w="4796" w:type="dxa"/>
            <w:vMerge w:val="restart"/>
          </w:tcPr>
          <w:p w:rsidR="00CB1997" w:rsidRPr="000C586E" w:rsidRDefault="00CB1997" w:rsidP="00CB1997">
            <w:pPr>
              <w:rPr>
                <w:rFonts w:ascii="Ebrima" w:hAnsi="Ebrima"/>
                <w:sz w:val="20"/>
                <w:szCs w:val="20"/>
              </w:rPr>
            </w:pPr>
            <w:r w:rsidRPr="000C586E">
              <w:rPr>
                <w:rFonts w:ascii="Ebrima" w:hAnsi="Ebrima"/>
                <w:sz w:val="20"/>
                <w:szCs w:val="20"/>
              </w:rPr>
              <w:t>Section A – Urban issues and challenges</w:t>
            </w:r>
          </w:p>
        </w:tc>
        <w:tc>
          <w:tcPr>
            <w:tcW w:w="4701" w:type="dxa"/>
          </w:tcPr>
          <w:p w:rsidR="00CB1997" w:rsidRPr="000C586E" w:rsidRDefault="00CB1997" w:rsidP="00CB1997">
            <w:pPr>
              <w:rPr>
                <w:rFonts w:ascii="Ebrima" w:hAnsi="Ebrima"/>
                <w:sz w:val="20"/>
                <w:szCs w:val="20"/>
              </w:rPr>
            </w:pPr>
            <w:r w:rsidRPr="000C586E">
              <w:rPr>
                <w:rFonts w:ascii="Ebrima" w:hAnsi="Ebrima"/>
                <w:sz w:val="20"/>
                <w:szCs w:val="20"/>
              </w:rPr>
              <w:t>Patterns of urban growth</w:t>
            </w:r>
          </w:p>
        </w:tc>
      </w:tr>
      <w:tr w:rsidR="00CB1997" w:rsidRPr="000C586E" w:rsidTr="003839AF">
        <w:tc>
          <w:tcPr>
            <w:tcW w:w="4219" w:type="dxa"/>
            <w:vMerge/>
          </w:tcPr>
          <w:p w:rsidR="00CB1997" w:rsidRPr="000C586E" w:rsidRDefault="00CB1997" w:rsidP="00CB1997">
            <w:pPr>
              <w:spacing w:after="60"/>
              <w:rPr>
                <w:rFonts w:ascii="Ebrima" w:hAnsi="Ebrima"/>
                <w:sz w:val="20"/>
                <w:szCs w:val="20"/>
              </w:rPr>
            </w:pPr>
          </w:p>
        </w:tc>
        <w:tc>
          <w:tcPr>
            <w:tcW w:w="4796" w:type="dxa"/>
            <w:vMerge/>
          </w:tcPr>
          <w:p w:rsidR="00CB1997" w:rsidRPr="000C586E" w:rsidRDefault="00CB1997" w:rsidP="00CB1997">
            <w:pPr>
              <w:rPr>
                <w:rFonts w:ascii="Ebrima" w:hAnsi="Ebrima"/>
                <w:sz w:val="20"/>
                <w:szCs w:val="20"/>
              </w:rPr>
            </w:pPr>
          </w:p>
        </w:tc>
        <w:tc>
          <w:tcPr>
            <w:tcW w:w="4701" w:type="dxa"/>
          </w:tcPr>
          <w:p w:rsidR="00CB1997" w:rsidRPr="000C586E" w:rsidRDefault="00CB1997" w:rsidP="00CB1997">
            <w:pPr>
              <w:rPr>
                <w:rFonts w:ascii="Ebrima" w:hAnsi="Ebrima"/>
                <w:sz w:val="20"/>
                <w:szCs w:val="20"/>
              </w:rPr>
            </w:pPr>
            <w:r w:rsidRPr="000C586E">
              <w:rPr>
                <w:rFonts w:ascii="Ebrima" w:hAnsi="Ebrima"/>
                <w:sz w:val="20"/>
                <w:szCs w:val="20"/>
              </w:rPr>
              <w:t>Case study of an LIC/NEE city</w:t>
            </w:r>
          </w:p>
        </w:tc>
      </w:tr>
      <w:tr w:rsidR="00CB1997" w:rsidRPr="000C586E" w:rsidTr="003839AF">
        <w:tc>
          <w:tcPr>
            <w:tcW w:w="4219" w:type="dxa"/>
            <w:vMerge/>
          </w:tcPr>
          <w:p w:rsidR="00CB1997" w:rsidRPr="000C586E" w:rsidRDefault="00CB1997" w:rsidP="00CB1997">
            <w:pPr>
              <w:spacing w:after="60"/>
              <w:rPr>
                <w:rFonts w:ascii="Ebrima" w:hAnsi="Ebrima"/>
                <w:sz w:val="20"/>
                <w:szCs w:val="20"/>
              </w:rPr>
            </w:pPr>
          </w:p>
        </w:tc>
        <w:tc>
          <w:tcPr>
            <w:tcW w:w="4796" w:type="dxa"/>
            <w:vMerge/>
          </w:tcPr>
          <w:p w:rsidR="00CB1997" w:rsidRPr="000C586E" w:rsidRDefault="00CB1997" w:rsidP="00CB1997">
            <w:pPr>
              <w:rPr>
                <w:rFonts w:ascii="Ebrima" w:hAnsi="Ebrima"/>
                <w:sz w:val="20"/>
                <w:szCs w:val="20"/>
              </w:rPr>
            </w:pPr>
          </w:p>
        </w:tc>
        <w:tc>
          <w:tcPr>
            <w:tcW w:w="4701" w:type="dxa"/>
          </w:tcPr>
          <w:p w:rsidR="00CB1997" w:rsidRPr="000C586E" w:rsidRDefault="00CB1997" w:rsidP="00CB1997">
            <w:pPr>
              <w:rPr>
                <w:rFonts w:ascii="Ebrima" w:hAnsi="Ebrima"/>
                <w:sz w:val="20"/>
                <w:szCs w:val="20"/>
              </w:rPr>
            </w:pPr>
            <w:r w:rsidRPr="000C586E">
              <w:rPr>
                <w:rFonts w:ascii="Ebrima" w:hAnsi="Ebrima"/>
                <w:sz w:val="20"/>
                <w:szCs w:val="20"/>
              </w:rPr>
              <w:t>An overview of the population and distribution of major cities in the UK</w:t>
            </w:r>
          </w:p>
        </w:tc>
      </w:tr>
    </w:tbl>
    <w:p w:rsidR="004A137D" w:rsidRPr="000C586E" w:rsidRDefault="004A137D" w:rsidP="00B22174">
      <w:pPr>
        <w:spacing w:afterLines="120" w:after="288"/>
        <w:rPr>
          <w:rFonts w:ascii="Ebrima" w:hAnsi="Ebrima"/>
          <w:sz w:val="20"/>
          <w:szCs w:val="20"/>
        </w:rPr>
      </w:pPr>
    </w:p>
    <w:tbl>
      <w:tblPr>
        <w:tblStyle w:val="TableGrid"/>
        <w:tblW w:w="13716" w:type="dxa"/>
        <w:tblLayout w:type="fixed"/>
        <w:tblLook w:val="04A0" w:firstRow="1" w:lastRow="0" w:firstColumn="1" w:lastColumn="0" w:noHBand="0" w:noVBand="1"/>
      </w:tblPr>
      <w:tblGrid>
        <w:gridCol w:w="4219"/>
        <w:gridCol w:w="4796"/>
        <w:gridCol w:w="4701"/>
      </w:tblGrid>
      <w:tr w:rsidR="004A137D" w:rsidRPr="000C586E" w:rsidTr="003839AF">
        <w:trPr>
          <w:cantSplit/>
        </w:trPr>
        <w:tc>
          <w:tcPr>
            <w:tcW w:w="13716" w:type="dxa"/>
            <w:gridSpan w:val="3"/>
            <w:shd w:val="clear" w:color="auto" w:fill="008996"/>
          </w:tcPr>
          <w:p w:rsidR="004A137D" w:rsidRPr="000C586E" w:rsidRDefault="001C62E1" w:rsidP="003839AF">
            <w:pPr>
              <w:spacing w:after="60"/>
              <w:rPr>
                <w:rFonts w:ascii="Ebrima" w:hAnsi="Ebrima"/>
                <w:color w:val="FFFFFF" w:themeColor="background1"/>
                <w:sz w:val="20"/>
                <w:szCs w:val="20"/>
              </w:rPr>
            </w:pPr>
            <w:r w:rsidRPr="000C586E">
              <w:rPr>
                <w:rFonts w:ascii="Ebrima" w:hAnsi="Ebrima"/>
                <w:b/>
                <w:color w:val="FFFFFF" w:themeColor="background1"/>
                <w:sz w:val="20"/>
                <w:szCs w:val="20"/>
              </w:rPr>
              <w:t>Summer</w:t>
            </w:r>
            <w:r w:rsidR="004A137D" w:rsidRPr="000C586E">
              <w:rPr>
                <w:rFonts w:ascii="Ebrima" w:hAnsi="Ebrima"/>
                <w:b/>
                <w:color w:val="FFFFFF" w:themeColor="background1"/>
                <w:sz w:val="20"/>
                <w:szCs w:val="20"/>
              </w:rPr>
              <w:t xml:space="preserve"> term</w:t>
            </w:r>
          </w:p>
        </w:tc>
      </w:tr>
      <w:tr w:rsidR="00CB1997" w:rsidRPr="000C586E" w:rsidTr="003839AF">
        <w:tc>
          <w:tcPr>
            <w:tcW w:w="4219" w:type="dxa"/>
            <w:vMerge w:val="restart"/>
          </w:tcPr>
          <w:p w:rsidR="00CB1997" w:rsidRPr="000C586E" w:rsidRDefault="00CB1997" w:rsidP="00CB1997">
            <w:pPr>
              <w:rPr>
                <w:rFonts w:ascii="Ebrima" w:hAnsi="Ebrima"/>
                <w:sz w:val="20"/>
                <w:szCs w:val="20"/>
              </w:rPr>
            </w:pPr>
            <w:r w:rsidRPr="000C586E">
              <w:rPr>
                <w:rFonts w:ascii="Ebrima" w:hAnsi="Ebrima"/>
                <w:sz w:val="20"/>
                <w:szCs w:val="20"/>
              </w:rPr>
              <w:t>Challenges in the human environment</w:t>
            </w:r>
          </w:p>
        </w:tc>
        <w:tc>
          <w:tcPr>
            <w:tcW w:w="4796" w:type="dxa"/>
            <w:vMerge w:val="restart"/>
          </w:tcPr>
          <w:p w:rsidR="00CB1997" w:rsidRPr="000C586E" w:rsidRDefault="00CB1997" w:rsidP="00CB1997">
            <w:pPr>
              <w:spacing w:after="60"/>
              <w:rPr>
                <w:rFonts w:ascii="Ebrima" w:hAnsi="Ebrima"/>
                <w:sz w:val="20"/>
                <w:szCs w:val="20"/>
              </w:rPr>
            </w:pPr>
            <w:r w:rsidRPr="000C586E">
              <w:rPr>
                <w:rFonts w:ascii="Ebrima" w:hAnsi="Ebrima"/>
                <w:sz w:val="20"/>
                <w:szCs w:val="20"/>
              </w:rPr>
              <w:t>Section A – Urban issues and challenges</w:t>
            </w:r>
          </w:p>
        </w:tc>
        <w:tc>
          <w:tcPr>
            <w:tcW w:w="4701" w:type="dxa"/>
          </w:tcPr>
          <w:p w:rsidR="00CB1997" w:rsidRPr="000C586E" w:rsidRDefault="00CB1997" w:rsidP="00CB1997">
            <w:pPr>
              <w:rPr>
                <w:rFonts w:ascii="Ebrima" w:hAnsi="Ebrima"/>
                <w:sz w:val="20"/>
                <w:szCs w:val="20"/>
              </w:rPr>
            </w:pPr>
            <w:r w:rsidRPr="000C586E">
              <w:rPr>
                <w:rFonts w:ascii="Ebrima" w:hAnsi="Ebrima"/>
                <w:sz w:val="20"/>
                <w:szCs w:val="20"/>
              </w:rPr>
              <w:t>Case study of a city in the UK</w:t>
            </w:r>
          </w:p>
        </w:tc>
      </w:tr>
      <w:tr w:rsidR="00CB1997" w:rsidRPr="000C586E" w:rsidTr="003839AF">
        <w:tc>
          <w:tcPr>
            <w:tcW w:w="4219" w:type="dxa"/>
            <w:vMerge/>
          </w:tcPr>
          <w:p w:rsidR="00CB1997" w:rsidRPr="000C586E" w:rsidRDefault="00CB1997" w:rsidP="00CB1997">
            <w:pPr>
              <w:spacing w:after="60"/>
              <w:rPr>
                <w:rFonts w:ascii="Ebrima" w:hAnsi="Ebrima"/>
                <w:sz w:val="20"/>
                <w:szCs w:val="20"/>
              </w:rPr>
            </w:pPr>
          </w:p>
        </w:tc>
        <w:tc>
          <w:tcPr>
            <w:tcW w:w="4796" w:type="dxa"/>
            <w:vMerge/>
          </w:tcPr>
          <w:p w:rsidR="00CB1997" w:rsidRPr="000C586E" w:rsidRDefault="00CB1997" w:rsidP="00CB1997">
            <w:pPr>
              <w:rPr>
                <w:rFonts w:ascii="Ebrima" w:hAnsi="Ebrima"/>
                <w:sz w:val="20"/>
                <w:szCs w:val="20"/>
              </w:rPr>
            </w:pPr>
          </w:p>
        </w:tc>
        <w:tc>
          <w:tcPr>
            <w:tcW w:w="4701" w:type="dxa"/>
          </w:tcPr>
          <w:p w:rsidR="00CB1997" w:rsidRPr="000C586E" w:rsidRDefault="00CB1997" w:rsidP="00CB1997">
            <w:pPr>
              <w:rPr>
                <w:rFonts w:ascii="Ebrima" w:hAnsi="Ebrima"/>
                <w:sz w:val="20"/>
                <w:szCs w:val="20"/>
              </w:rPr>
            </w:pPr>
            <w:r w:rsidRPr="000C586E">
              <w:rPr>
                <w:rFonts w:ascii="Ebrima" w:hAnsi="Ebrima"/>
                <w:sz w:val="20"/>
                <w:szCs w:val="20"/>
              </w:rPr>
              <w:t>Sustainable urban living</w:t>
            </w:r>
          </w:p>
        </w:tc>
      </w:tr>
      <w:tr w:rsidR="00CB1997" w:rsidRPr="000C586E" w:rsidTr="003839AF">
        <w:tc>
          <w:tcPr>
            <w:tcW w:w="4219" w:type="dxa"/>
            <w:vMerge/>
          </w:tcPr>
          <w:p w:rsidR="00CB1997" w:rsidRPr="000C586E" w:rsidRDefault="00CB1997" w:rsidP="00CB1997">
            <w:pPr>
              <w:spacing w:after="60"/>
              <w:rPr>
                <w:rFonts w:ascii="Ebrima" w:hAnsi="Ebrima"/>
                <w:sz w:val="20"/>
                <w:szCs w:val="20"/>
              </w:rPr>
            </w:pPr>
          </w:p>
        </w:tc>
        <w:tc>
          <w:tcPr>
            <w:tcW w:w="4796" w:type="dxa"/>
            <w:vMerge/>
          </w:tcPr>
          <w:p w:rsidR="00CB1997" w:rsidRPr="000C586E" w:rsidRDefault="00CB1997" w:rsidP="00CB1997">
            <w:pPr>
              <w:rPr>
                <w:rFonts w:ascii="Ebrima" w:hAnsi="Ebrima"/>
                <w:sz w:val="20"/>
                <w:szCs w:val="20"/>
              </w:rPr>
            </w:pPr>
          </w:p>
        </w:tc>
        <w:tc>
          <w:tcPr>
            <w:tcW w:w="4701" w:type="dxa"/>
          </w:tcPr>
          <w:p w:rsidR="00CB1997" w:rsidRPr="000C586E" w:rsidRDefault="00CB1997" w:rsidP="00CB1997">
            <w:pPr>
              <w:rPr>
                <w:rFonts w:ascii="Ebrima" w:hAnsi="Ebrima"/>
                <w:sz w:val="20"/>
                <w:szCs w:val="20"/>
              </w:rPr>
            </w:pPr>
            <w:r w:rsidRPr="000C586E">
              <w:rPr>
                <w:rFonts w:ascii="Ebrima" w:hAnsi="Ebrima"/>
                <w:sz w:val="20"/>
                <w:szCs w:val="20"/>
              </w:rPr>
              <w:t xml:space="preserve">Opportunity for fieldwork </w:t>
            </w:r>
          </w:p>
          <w:p w:rsidR="00CB1997" w:rsidRPr="000C586E" w:rsidRDefault="00CB1997" w:rsidP="00CB1997">
            <w:pPr>
              <w:rPr>
                <w:rFonts w:ascii="Ebrima" w:hAnsi="Ebrima"/>
                <w:i/>
                <w:sz w:val="20"/>
                <w:szCs w:val="20"/>
              </w:rPr>
            </w:pPr>
            <w:r w:rsidRPr="000C586E">
              <w:rPr>
                <w:rFonts w:ascii="Ebrima" w:hAnsi="Ebrima"/>
                <w:i/>
                <w:sz w:val="20"/>
                <w:szCs w:val="20"/>
              </w:rPr>
              <w:t>Second fieldwork unit</w:t>
            </w:r>
          </w:p>
        </w:tc>
      </w:tr>
    </w:tbl>
    <w:p w:rsidR="004A137D" w:rsidRPr="000C586E" w:rsidRDefault="004A137D" w:rsidP="00B22174">
      <w:pPr>
        <w:spacing w:afterLines="120" w:after="288"/>
        <w:rPr>
          <w:rFonts w:ascii="Ebrima" w:hAnsi="Ebrima"/>
          <w:sz w:val="20"/>
          <w:szCs w:val="20"/>
        </w:rPr>
      </w:pPr>
    </w:p>
    <w:tbl>
      <w:tblPr>
        <w:tblStyle w:val="TableGrid"/>
        <w:tblW w:w="13716" w:type="dxa"/>
        <w:tblLayout w:type="fixed"/>
        <w:tblLook w:val="04A0" w:firstRow="1" w:lastRow="0" w:firstColumn="1" w:lastColumn="0" w:noHBand="0" w:noVBand="1"/>
      </w:tblPr>
      <w:tblGrid>
        <w:gridCol w:w="4219"/>
        <w:gridCol w:w="4796"/>
        <w:gridCol w:w="4701"/>
      </w:tblGrid>
      <w:tr w:rsidR="001C62E1" w:rsidRPr="000C586E" w:rsidTr="003839AF">
        <w:trPr>
          <w:cantSplit/>
        </w:trPr>
        <w:tc>
          <w:tcPr>
            <w:tcW w:w="13716" w:type="dxa"/>
            <w:gridSpan w:val="3"/>
            <w:shd w:val="clear" w:color="auto" w:fill="008996"/>
          </w:tcPr>
          <w:p w:rsidR="001C62E1" w:rsidRPr="000C586E" w:rsidRDefault="001C62E1" w:rsidP="001C62E1">
            <w:pPr>
              <w:spacing w:after="60"/>
              <w:rPr>
                <w:rFonts w:ascii="Ebrima" w:hAnsi="Ebrima"/>
                <w:color w:val="FFFFFF" w:themeColor="background1"/>
                <w:sz w:val="20"/>
                <w:szCs w:val="20"/>
              </w:rPr>
            </w:pPr>
            <w:r w:rsidRPr="000C586E">
              <w:rPr>
                <w:rFonts w:ascii="Ebrima" w:hAnsi="Ebrima"/>
                <w:b/>
                <w:color w:val="FFFFFF" w:themeColor="background1"/>
                <w:sz w:val="20"/>
                <w:szCs w:val="20"/>
              </w:rPr>
              <w:lastRenderedPageBreak/>
              <w:t xml:space="preserve">YEAR 3 (Year 11) </w:t>
            </w:r>
          </w:p>
        </w:tc>
      </w:tr>
      <w:tr w:rsidR="004A137D" w:rsidRPr="000C586E" w:rsidTr="003839AF">
        <w:trPr>
          <w:cantSplit/>
        </w:trPr>
        <w:tc>
          <w:tcPr>
            <w:tcW w:w="13716" w:type="dxa"/>
            <w:gridSpan w:val="3"/>
            <w:shd w:val="clear" w:color="auto" w:fill="008996"/>
          </w:tcPr>
          <w:p w:rsidR="004A137D" w:rsidRPr="000C586E" w:rsidRDefault="001C62E1" w:rsidP="003839AF">
            <w:pPr>
              <w:spacing w:after="60"/>
              <w:rPr>
                <w:rFonts w:ascii="Ebrima" w:hAnsi="Ebrima"/>
                <w:color w:val="FFFFFF" w:themeColor="background1"/>
                <w:sz w:val="20"/>
                <w:szCs w:val="20"/>
              </w:rPr>
            </w:pPr>
            <w:r w:rsidRPr="000C586E">
              <w:rPr>
                <w:rFonts w:ascii="Ebrima" w:hAnsi="Ebrima"/>
                <w:b/>
                <w:color w:val="FFFFFF" w:themeColor="background1"/>
                <w:sz w:val="20"/>
                <w:szCs w:val="20"/>
              </w:rPr>
              <w:t xml:space="preserve">Autumn </w:t>
            </w:r>
            <w:r w:rsidR="004A137D" w:rsidRPr="000C586E">
              <w:rPr>
                <w:rFonts w:ascii="Ebrima" w:hAnsi="Ebrima"/>
                <w:b/>
                <w:color w:val="FFFFFF" w:themeColor="background1"/>
                <w:sz w:val="20"/>
                <w:szCs w:val="20"/>
              </w:rPr>
              <w:t>term</w:t>
            </w:r>
          </w:p>
        </w:tc>
      </w:tr>
      <w:tr w:rsidR="00CB1997" w:rsidRPr="000C586E" w:rsidTr="003839AF">
        <w:tc>
          <w:tcPr>
            <w:tcW w:w="4219" w:type="dxa"/>
            <w:vMerge w:val="restart"/>
          </w:tcPr>
          <w:p w:rsidR="00CB1997" w:rsidRPr="000C586E" w:rsidRDefault="00CB1997" w:rsidP="00CB1997">
            <w:pPr>
              <w:rPr>
                <w:rFonts w:ascii="Ebrima" w:hAnsi="Ebrima"/>
                <w:sz w:val="20"/>
                <w:szCs w:val="20"/>
              </w:rPr>
            </w:pPr>
            <w:r w:rsidRPr="000C586E">
              <w:rPr>
                <w:rFonts w:ascii="Ebrima" w:hAnsi="Ebrima"/>
                <w:sz w:val="20"/>
                <w:szCs w:val="20"/>
              </w:rPr>
              <w:t>Challenges in the human environment</w:t>
            </w:r>
          </w:p>
        </w:tc>
        <w:tc>
          <w:tcPr>
            <w:tcW w:w="4796" w:type="dxa"/>
            <w:vMerge w:val="restart"/>
          </w:tcPr>
          <w:p w:rsidR="00CB1997" w:rsidRPr="000C586E" w:rsidRDefault="00CB1997" w:rsidP="00CB1997">
            <w:pPr>
              <w:spacing w:after="60"/>
              <w:rPr>
                <w:rFonts w:ascii="Ebrima" w:hAnsi="Ebrima"/>
                <w:sz w:val="20"/>
                <w:szCs w:val="20"/>
              </w:rPr>
            </w:pPr>
            <w:r w:rsidRPr="000C586E">
              <w:rPr>
                <w:rFonts w:ascii="Ebrima" w:hAnsi="Ebrima"/>
                <w:sz w:val="20"/>
                <w:szCs w:val="20"/>
              </w:rPr>
              <w:t>Section B – The changing economic world</w:t>
            </w:r>
          </w:p>
        </w:tc>
        <w:tc>
          <w:tcPr>
            <w:tcW w:w="4701" w:type="dxa"/>
          </w:tcPr>
          <w:p w:rsidR="00CB1997" w:rsidRPr="000C586E" w:rsidRDefault="00CB1997" w:rsidP="00CB1997">
            <w:pPr>
              <w:rPr>
                <w:rFonts w:ascii="Ebrima" w:hAnsi="Ebrima"/>
                <w:sz w:val="20"/>
                <w:szCs w:val="20"/>
              </w:rPr>
            </w:pPr>
            <w:r w:rsidRPr="000C586E">
              <w:rPr>
                <w:rFonts w:ascii="Ebrima" w:hAnsi="Ebrima"/>
                <w:sz w:val="20"/>
                <w:szCs w:val="20"/>
              </w:rPr>
              <w:t>Global economic development</w:t>
            </w:r>
          </w:p>
        </w:tc>
      </w:tr>
      <w:tr w:rsidR="00CB1997" w:rsidRPr="000C586E" w:rsidTr="003839AF">
        <w:tc>
          <w:tcPr>
            <w:tcW w:w="4219" w:type="dxa"/>
            <w:vMerge/>
          </w:tcPr>
          <w:p w:rsidR="00CB1997" w:rsidRPr="000C586E" w:rsidRDefault="00CB1997" w:rsidP="00CB1997">
            <w:pPr>
              <w:spacing w:after="60"/>
              <w:rPr>
                <w:rFonts w:ascii="Ebrima" w:hAnsi="Ebrima"/>
                <w:sz w:val="20"/>
                <w:szCs w:val="20"/>
              </w:rPr>
            </w:pPr>
          </w:p>
        </w:tc>
        <w:tc>
          <w:tcPr>
            <w:tcW w:w="4796" w:type="dxa"/>
            <w:vMerge/>
          </w:tcPr>
          <w:p w:rsidR="00CB1997" w:rsidRPr="000C586E" w:rsidRDefault="00CB1997" w:rsidP="00CB1997">
            <w:pPr>
              <w:rPr>
                <w:rFonts w:ascii="Ebrima" w:hAnsi="Ebrima"/>
                <w:sz w:val="20"/>
                <w:szCs w:val="20"/>
              </w:rPr>
            </w:pPr>
          </w:p>
        </w:tc>
        <w:tc>
          <w:tcPr>
            <w:tcW w:w="4701" w:type="dxa"/>
          </w:tcPr>
          <w:p w:rsidR="00CB1997" w:rsidRPr="000C586E" w:rsidRDefault="00CB1997" w:rsidP="00CB1997">
            <w:pPr>
              <w:rPr>
                <w:rFonts w:ascii="Ebrima" w:hAnsi="Ebrima"/>
                <w:sz w:val="20"/>
                <w:szCs w:val="20"/>
              </w:rPr>
            </w:pPr>
            <w:r w:rsidRPr="000C586E">
              <w:rPr>
                <w:rFonts w:ascii="Ebrima" w:hAnsi="Ebrima"/>
                <w:sz w:val="20"/>
                <w:szCs w:val="20"/>
              </w:rPr>
              <w:t>Reducing the development gap</w:t>
            </w:r>
          </w:p>
        </w:tc>
      </w:tr>
      <w:tr w:rsidR="00CB1997" w:rsidRPr="000C586E" w:rsidTr="003839AF">
        <w:tc>
          <w:tcPr>
            <w:tcW w:w="4219" w:type="dxa"/>
            <w:vMerge/>
          </w:tcPr>
          <w:p w:rsidR="00CB1997" w:rsidRPr="000C586E" w:rsidRDefault="00CB1997" w:rsidP="00CB1997">
            <w:pPr>
              <w:spacing w:after="60"/>
              <w:rPr>
                <w:rFonts w:ascii="Ebrima" w:hAnsi="Ebrima"/>
                <w:sz w:val="20"/>
                <w:szCs w:val="20"/>
              </w:rPr>
            </w:pPr>
          </w:p>
        </w:tc>
        <w:tc>
          <w:tcPr>
            <w:tcW w:w="4796" w:type="dxa"/>
            <w:vMerge/>
          </w:tcPr>
          <w:p w:rsidR="00CB1997" w:rsidRPr="000C586E" w:rsidRDefault="00CB1997" w:rsidP="00CB1997">
            <w:pPr>
              <w:spacing w:after="60"/>
              <w:rPr>
                <w:rFonts w:ascii="Ebrima" w:hAnsi="Ebrima"/>
                <w:sz w:val="20"/>
                <w:szCs w:val="20"/>
              </w:rPr>
            </w:pPr>
          </w:p>
        </w:tc>
        <w:tc>
          <w:tcPr>
            <w:tcW w:w="4701" w:type="dxa"/>
          </w:tcPr>
          <w:p w:rsidR="00CB1997" w:rsidRPr="000C586E" w:rsidRDefault="00CB1997" w:rsidP="00CB1997">
            <w:pPr>
              <w:rPr>
                <w:rFonts w:ascii="Ebrima" w:hAnsi="Ebrima"/>
                <w:sz w:val="20"/>
                <w:szCs w:val="20"/>
              </w:rPr>
            </w:pPr>
            <w:r w:rsidRPr="000C586E">
              <w:rPr>
                <w:rFonts w:ascii="Ebrima" w:hAnsi="Ebrima"/>
                <w:sz w:val="20"/>
                <w:szCs w:val="20"/>
              </w:rPr>
              <w:t>Case study of an LIC/NEE</w:t>
            </w:r>
          </w:p>
        </w:tc>
      </w:tr>
      <w:tr w:rsidR="00CB1997" w:rsidRPr="000C586E" w:rsidTr="003839AF">
        <w:tc>
          <w:tcPr>
            <w:tcW w:w="4219" w:type="dxa"/>
            <w:vMerge/>
          </w:tcPr>
          <w:p w:rsidR="00CB1997" w:rsidRPr="000C586E" w:rsidRDefault="00CB1997" w:rsidP="00CB1997">
            <w:pPr>
              <w:spacing w:after="60"/>
              <w:rPr>
                <w:rFonts w:ascii="Ebrima" w:hAnsi="Ebrima"/>
                <w:sz w:val="20"/>
                <w:szCs w:val="20"/>
              </w:rPr>
            </w:pPr>
          </w:p>
        </w:tc>
        <w:tc>
          <w:tcPr>
            <w:tcW w:w="4796" w:type="dxa"/>
            <w:vMerge/>
          </w:tcPr>
          <w:p w:rsidR="00CB1997" w:rsidRPr="000C586E" w:rsidRDefault="00CB1997" w:rsidP="00CB1997">
            <w:pPr>
              <w:spacing w:after="60"/>
              <w:rPr>
                <w:rFonts w:ascii="Ebrima" w:hAnsi="Ebrima"/>
                <w:sz w:val="20"/>
                <w:szCs w:val="20"/>
              </w:rPr>
            </w:pPr>
          </w:p>
        </w:tc>
        <w:tc>
          <w:tcPr>
            <w:tcW w:w="4701" w:type="dxa"/>
          </w:tcPr>
          <w:p w:rsidR="00CB1997" w:rsidRPr="000C586E" w:rsidRDefault="00CB1997" w:rsidP="00CB1997">
            <w:pPr>
              <w:rPr>
                <w:rFonts w:ascii="Ebrima" w:hAnsi="Ebrima"/>
                <w:sz w:val="20"/>
                <w:szCs w:val="20"/>
              </w:rPr>
            </w:pPr>
            <w:r w:rsidRPr="000C586E">
              <w:rPr>
                <w:rFonts w:ascii="Ebrima" w:hAnsi="Ebrima"/>
                <w:sz w:val="20"/>
                <w:szCs w:val="20"/>
              </w:rPr>
              <w:t>The changing economy of the UK</w:t>
            </w:r>
          </w:p>
        </w:tc>
      </w:tr>
      <w:tr w:rsidR="00CB1997" w:rsidRPr="000C586E" w:rsidTr="003839AF">
        <w:tc>
          <w:tcPr>
            <w:tcW w:w="4219" w:type="dxa"/>
            <w:vMerge/>
          </w:tcPr>
          <w:p w:rsidR="00CB1997" w:rsidRPr="000C586E" w:rsidRDefault="00CB1997" w:rsidP="00CB1997">
            <w:pPr>
              <w:spacing w:after="60"/>
              <w:rPr>
                <w:rFonts w:ascii="Ebrima" w:hAnsi="Ebrima"/>
                <w:sz w:val="20"/>
                <w:szCs w:val="20"/>
              </w:rPr>
            </w:pPr>
          </w:p>
        </w:tc>
        <w:tc>
          <w:tcPr>
            <w:tcW w:w="4796" w:type="dxa"/>
            <w:vMerge w:val="restart"/>
          </w:tcPr>
          <w:p w:rsidR="00CB1997" w:rsidRPr="000C586E" w:rsidRDefault="00CB1997" w:rsidP="00CB1997">
            <w:pPr>
              <w:spacing w:after="60"/>
              <w:rPr>
                <w:rFonts w:ascii="Ebrima" w:hAnsi="Ebrima"/>
                <w:sz w:val="20"/>
                <w:szCs w:val="20"/>
              </w:rPr>
            </w:pPr>
            <w:r w:rsidRPr="000C586E">
              <w:rPr>
                <w:rFonts w:ascii="Ebrima" w:hAnsi="Ebrima"/>
                <w:sz w:val="20"/>
                <w:szCs w:val="20"/>
              </w:rPr>
              <w:t>Section C – The challenge of resource management</w:t>
            </w:r>
          </w:p>
        </w:tc>
        <w:tc>
          <w:tcPr>
            <w:tcW w:w="4701" w:type="dxa"/>
          </w:tcPr>
          <w:p w:rsidR="00CB1997" w:rsidRPr="000C586E" w:rsidRDefault="00CB1997" w:rsidP="00CB1997">
            <w:pPr>
              <w:rPr>
                <w:rFonts w:ascii="Ebrima" w:hAnsi="Ebrima"/>
                <w:sz w:val="20"/>
                <w:szCs w:val="20"/>
              </w:rPr>
            </w:pPr>
            <w:r w:rsidRPr="000C586E">
              <w:rPr>
                <w:rFonts w:ascii="Ebrima" w:hAnsi="Ebrima"/>
                <w:sz w:val="20"/>
                <w:szCs w:val="20"/>
              </w:rPr>
              <w:t>Introduction to food/water/energy resources</w:t>
            </w:r>
          </w:p>
        </w:tc>
      </w:tr>
      <w:tr w:rsidR="00CB1997" w:rsidRPr="000C586E" w:rsidTr="003839AF">
        <w:tc>
          <w:tcPr>
            <w:tcW w:w="4219" w:type="dxa"/>
            <w:vMerge/>
          </w:tcPr>
          <w:p w:rsidR="00CB1997" w:rsidRPr="000C586E" w:rsidRDefault="00CB1997" w:rsidP="00CB1997">
            <w:pPr>
              <w:spacing w:after="60"/>
              <w:rPr>
                <w:rFonts w:ascii="Ebrima" w:hAnsi="Ebrima"/>
                <w:sz w:val="20"/>
                <w:szCs w:val="20"/>
              </w:rPr>
            </w:pPr>
          </w:p>
        </w:tc>
        <w:tc>
          <w:tcPr>
            <w:tcW w:w="4796" w:type="dxa"/>
            <w:vMerge/>
          </w:tcPr>
          <w:p w:rsidR="00CB1997" w:rsidRPr="000C586E" w:rsidRDefault="00CB1997" w:rsidP="00CB1997">
            <w:pPr>
              <w:spacing w:after="60"/>
              <w:rPr>
                <w:rFonts w:ascii="Ebrima" w:hAnsi="Ebrima"/>
                <w:sz w:val="20"/>
                <w:szCs w:val="20"/>
              </w:rPr>
            </w:pPr>
          </w:p>
        </w:tc>
        <w:tc>
          <w:tcPr>
            <w:tcW w:w="4701" w:type="dxa"/>
          </w:tcPr>
          <w:p w:rsidR="00CB1997" w:rsidRPr="000C586E" w:rsidRDefault="00CB1997" w:rsidP="00CB1997">
            <w:pPr>
              <w:rPr>
                <w:rFonts w:ascii="Ebrima" w:hAnsi="Ebrima"/>
                <w:sz w:val="20"/>
                <w:szCs w:val="20"/>
              </w:rPr>
            </w:pPr>
            <w:r w:rsidRPr="000C586E">
              <w:rPr>
                <w:rFonts w:ascii="Ebrima" w:hAnsi="Ebrima"/>
                <w:sz w:val="20"/>
                <w:szCs w:val="20"/>
              </w:rPr>
              <w:t xml:space="preserve">Study of either Food OR Water OR Energy </w:t>
            </w:r>
          </w:p>
        </w:tc>
      </w:tr>
    </w:tbl>
    <w:p w:rsidR="001C62E1" w:rsidRPr="000C586E" w:rsidRDefault="001C62E1">
      <w:pPr>
        <w:rPr>
          <w:rFonts w:ascii="Ebrima" w:hAnsi="Ebrima"/>
          <w:sz w:val="20"/>
          <w:szCs w:val="20"/>
        </w:rPr>
      </w:pPr>
    </w:p>
    <w:tbl>
      <w:tblPr>
        <w:tblStyle w:val="TableGrid"/>
        <w:tblW w:w="13716" w:type="dxa"/>
        <w:tblLayout w:type="fixed"/>
        <w:tblLook w:val="04A0" w:firstRow="1" w:lastRow="0" w:firstColumn="1" w:lastColumn="0" w:noHBand="0" w:noVBand="1"/>
      </w:tblPr>
      <w:tblGrid>
        <w:gridCol w:w="4219"/>
        <w:gridCol w:w="4796"/>
        <w:gridCol w:w="4701"/>
      </w:tblGrid>
      <w:tr w:rsidR="004A137D" w:rsidRPr="000C586E" w:rsidTr="003839AF">
        <w:trPr>
          <w:cantSplit/>
        </w:trPr>
        <w:tc>
          <w:tcPr>
            <w:tcW w:w="13716" w:type="dxa"/>
            <w:gridSpan w:val="3"/>
            <w:shd w:val="clear" w:color="auto" w:fill="008996"/>
          </w:tcPr>
          <w:p w:rsidR="004A137D" w:rsidRPr="000C586E" w:rsidRDefault="004A137D" w:rsidP="003839AF">
            <w:pPr>
              <w:spacing w:after="60"/>
              <w:rPr>
                <w:rFonts w:ascii="Ebrima" w:hAnsi="Ebrima"/>
                <w:color w:val="FFFFFF" w:themeColor="background1"/>
                <w:sz w:val="20"/>
                <w:szCs w:val="20"/>
              </w:rPr>
            </w:pPr>
            <w:r w:rsidRPr="000C586E">
              <w:rPr>
                <w:rFonts w:ascii="Ebrima" w:hAnsi="Ebrima"/>
                <w:b/>
                <w:color w:val="FFFFFF" w:themeColor="background1"/>
                <w:sz w:val="20"/>
                <w:szCs w:val="20"/>
              </w:rPr>
              <w:t>Spring term</w:t>
            </w:r>
            <w:r w:rsidR="001C62E1" w:rsidRPr="000C586E">
              <w:rPr>
                <w:rFonts w:ascii="Ebrima" w:hAnsi="Ebrima"/>
                <w:b/>
                <w:color w:val="FFFFFF" w:themeColor="background1"/>
                <w:sz w:val="20"/>
                <w:szCs w:val="20"/>
              </w:rPr>
              <w:t>/early Summer term</w:t>
            </w:r>
          </w:p>
        </w:tc>
      </w:tr>
      <w:tr w:rsidR="009A2D5F" w:rsidRPr="000C586E" w:rsidTr="003839AF">
        <w:tc>
          <w:tcPr>
            <w:tcW w:w="4219" w:type="dxa"/>
            <w:vMerge w:val="restart"/>
          </w:tcPr>
          <w:p w:rsidR="009A2D5F" w:rsidRPr="000C586E" w:rsidRDefault="009A2D5F" w:rsidP="00CB1997">
            <w:pPr>
              <w:rPr>
                <w:rFonts w:ascii="Ebrima" w:hAnsi="Ebrima"/>
                <w:sz w:val="20"/>
                <w:szCs w:val="20"/>
              </w:rPr>
            </w:pPr>
            <w:r w:rsidRPr="000C586E">
              <w:rPr>
                <w:rFonts w:ascii="Ebrima" w:hAnsi="Ebrima"/>
                <w:sz w:val="20"/>
                <w:szCs w:val="20"/>
              </w:rPr>
              <w:t>Challenges of the human environment</w:t>
            </w:r>
          </w:p>
        </w:tc>
        <w:tc>
          <w:tcPr>
            <w:tcW w:w="4796" w:type="dxa"/>
          </w:tcPr>
          <w:p w:rsidR="009A2D5F" w:rsidRPr="000C586E" w:rsidRDefault="009A2D5F" w:rsidP="00CB1997">
            <w:pPr>
              <w:rPr>
                <w:rFonts w:ascii="Ebrima" w:hAnsi="Ebrima"/>
                <w:sz w:val="20"/>
                <w:szCs w:val="20"/>
              </w:rPr>
            </w:pPr>
            <w:r w:rsidRPr="000C586E">
              <w:rPr>
                <w:rFonts w:ascii="Ebrima" w:hAnsi="Ebrima"/>
                <w:sz w:val="20"/>
                <w:szCs w:val="20"/>
              </w:rPr>
              <w:t xml:space="preserve">Review of the Unit </w:t>
            </w:r>
          </w:p>
          <w:p w:rsidR="009A2D5F" w:rsidRPr="000C586E" w:rsidRDefault="009A2D5F" w:rsidP="00CB1997">
            <w:pPr>
              <w:rPr>
                <w:rFonts w:ascii="Ebrima" w:hAnsi="Ebrima"/>
                <w:i/>
                <w:sz w:val="20"/>
                <w:szCs w:val="20"/>
              </w:rPr>
            </w:pPr>
            <w:r w:rsidRPr="000C586E">
              <w:rPr>
                <w:rFonts w:ascii="Ebrima" w:hAnsi="Ebrima"/>
                <w:i/>
                <w:sz w:val="20"/>
                <w:szCs w:val="20"/>
              </w:rPr>
              <w:t>Could have an end of unit assessment to identify strengths/areas for development/reflection</w:t>
            </w:r>
          </w:p>
        </w:tc>
        <w:tc>
          <w:tcPr>
            <w:tcW w:w="4701" w:type="dxa"/>
            <w:vMerge w:val="restart"/>
          </w:tcPr>
          <w:p w:rsidR="009A2D5F" w:rsidRPr="000C586E" w:rsidRDefault="009A2D5F" w:rsidP="00CB1997">
            <w:pPr>
              <w:spacing w:after="60"/>
              <w:rPr>
                <w:rFonts w:ascii="Ebrima" w:hAnsi="Ebrima"/>
                <w:sz w:val="20"/>
                <w:szCs w:val="20"/>
              </w:rPr>
            </w:pPr>
          </w:p>
        </w:tc>
      </w:tr>
      <w:tr w:rsidR="009A2D5F" w:rsidRPr="000C586E" w:rsidTr="003839AF">
        <w:tc>
          <w:tcPr>
            <w:tcW w:w="4219" w:type="dxa"/>
            <w:vMerge/>
          </w:tcPr>
          <w:p w:rsidR="009A2D5F" w:rsidRPr="000C586E" w:rsidRDefault="009A2D5F" w:rsidP="00CB1997">
            <w:pPr>
              <w:spacing w:after="60"/>
              <w:rPr>
                <w:rFonts w:ascii="Ebrima" w:hAnsi="Ebrima"/>
                <w:sz w:val="20"/>
                <w:szCs w:val="20"/>
              </w:rPr>
            </w:pPr>
          </w:p>
        </w:tc>
        <w:tc>
          <w:tcPr>
            <w:tcW w:w="4796" w:type="dxa"/>
          </w:tcPr>
          <w:p w:rsidR="009A2D5F" w:rsidRPr="000C586E" w:rsidRDefault="009A2D5F" w:rsidP="00CB1997">
            <w:pPr>
              <w:rPr>
                <w:rFonts w:ascii="Ebrima" w:hAnsi="Ebrima"/>
                <w:sz w:val="20"/>
                <w:szCs w:val="20"/>
              </w:rPr>
            </w:pPr>
            <w:r w:rsidRPr="000C586E">
              <w:rPr>
                <w:rFonts w:ascii="Ebrima" w:hAnsi="Ebrima"/>
                <w:sz w:val="20"/>
                <w:szCs w:val="20"/>
              </w:rPr>
              <w:t>Opportunity to revisit the fieldwork element work on the development of a revision and preparation strategy for the fieldwork element of examination Paper 3</w:t>
            </w:r>
          </w:p>
        </w:tc>
        <w:tc>
          <w:tcPr>
            <w:tcW w:w="4701" w:type="dxa"/>
            <w:vMerge/>
          </w:tcPr>
          <w:p w:rsidR="009A2D5F" w:rsidRPr="000C586E" w:rsidRDefault="009A2D5F" w:rsidP="00CB1997">
            <w:pPr>
              <w:spacing w:after="60"/>
              <w:rPr>
                <w:rFonts w:ascii="Ebrima" w:hAnsi="Ebrima"/>
                <w:sz w:val="20"/>
                <w:szCs w:val="20"/>
              </w:rPr>
            </w:pPr>
          </w:p>
        </w:tc>
      </w:tr>
      <w:tr w:rsidR="009A2D5F" w:rsidRPr="000C586E" w:rsidTr="003839AF">
        <w:tc>
          <w:tcPr>
            <w:tcW w:w="4219" w:type="dxa"/>
            <w:vMerge/>
          </w:tcPr>
          <w:p w:rsidR="009A2D5F" w:rsidRPr="000C586E" w:rsidRDefault="009A2D5F" w:rsidP="00CB1997">
            <w:pPr>
              <w:spacing w:after="60"/>
              <w:rPr>
                <w:rFonts w:ascii="Ebrima" w:hAnsi="Ebrima"/>
                <w:sz w:val="20"/>
                <w:szCs w:val="20"/>
              </w:rPr>
            </w:pPr>
          </w:p>
        </w:tc>
        <w:tc>
          <w:tcPr>
            <w:tcW w:w="4796" w:type="dxa"/>
          </w:tcPr>
          <w:p w:rsidR="009A2D5F" w:rsidRPr="000C586E" w:rsidRDefault="009A2D5F" w:rsidP="00CB1997">
            <w:pPr>
              <w:rPr>
                <w:rFonts w:ascii="Ebrima" w:hAnsi="Ebrima"/>
                <w:sz w:val="20"/>
                <w:szCs w:val="20"/>
              </w:rPr>
            </w:pPr>
            <w:r w:rsidRPr="000C586E">
              <w:rPr>
                <w:rFonts w:ascii="Ebrima" w:hAnsi="Ebrima"/>
                <w:sz w:val="20"/>
                <w:szCs w:val="20"/>
              </w:rPr>
              <w:t>Opportunity for further fieldwork if required</w:t>
            </w:r>
          </w:p>
        </w:tc>
        <w:tc>
          <w:tcPr>
            <w:tcW w:w="4701" w:type="dxa"/>
            <w:vMerge/>
          </w:tcPr>
          <w:p w:rsidR="009A2D5F" w:rsidRPr="000C586E" w:rsidRDefault="009A2D5F" w:rsidP="00CB1997">
            <w:pPr>
              <w:spacing w:after="60"/>
              <w:rPr>
                <w:rFonts w:ascii="Ebrima" w:hAnsi="Ebrima"/>
                <w:sz w:val="20"/>
                <w:szCs w:val="20"/>
              </w:rPr>
            </w:pPr>
          </w:p>
        </w:tc>
      </w:tr>
      <w:tr w:rsidR="009A2D5F" w:rsidRPr="000C586E" w:rsidTr="003839AF">
        <w:tc>
          <w:tcPr>
            <w:tcW w:w="4219" w:type="dxa"/>
            <w:vMerge/>
          </w:tcPr>
          <w:p w:rsidR="009A2D5F" w:rsidRPr="000C586E" w:rsidRDefault="009A2D5F" w:rsidP="00CB1997">
            <w:pPr>
              <w:spacing w:after="60"/>
              <w:rPr>
                <w:rFonts w:ascii="Ebrima" w:hAnsi="Ebrima"/>
                <w:sz w:val="20"/>
                <w:szCs w:val="20"/>
              </w:rPr>
            </w:pPr>
          </w:p>
        </w:tc>
        <w:tc>
          <w:tcPr>
            <w:tcW w:w="4796" w:type="dxa"/>
          </w:tcPr>
          <w:p w:rsidR="009A2D5F" w:rsidRPr="000C586E" w:rsidRDefault="009A2D5F" w:rsidP="00CB1997">
            <w:pPr>
              <w:rPr>
                <w:rFonts w:ascii="Ebrima" w:hAnsi="Ebrima"/>
                <w:sz w:val="20"/>
                <w:szCs w:val="20"/>
              </w:rPr>
            </w:pPr>
            <w:r w:rsidRPr="000C586E">
              <w:rPr>
                <w:rFonts w:ascii="Ebrima" w:hAnsi="Ebrima"/>
                <w:sz w:val="20"/>
                <w:szCs w:val="20"/>
              </w:rPr>
              <w:t>Revision and examination preparation/practice strategy</w:t>
            </w:r>
          </w:p>
        </w:tc>
        <w:tc>
          <w:tcPr>
            <w:tcW w:w="4701" w:type="dxa"/>
            <w:vMerge/>
          </w:tcPr>
          <w:p w:rsidR="009A2D5F" w:rsidRPr="000C586E" w:rsidRDefault="009A2D5F" w:rsidP="00CB1997">
            <w:pPr>
              <w:spacing w:after="60"/>
              <w:rPr>
                <w:rFonts w:ascii="Ebrima" w:hAnsi="Ebrima"/>
                <w:sz w:val="20"/>
                <w:szCs w:val="20"/>
              </w:rPr>
            </w:pPr>
          </w:p>
        </w:tc>
      </w:tr>
      <w:tr w:rsidR="009A2D5F" w:rsidRPr="000C586E" w:rsidTr="003839AF">
        <w:tc>
          <w:tcPr>
            <w:tcW w:w="4219" w:type="dxa"/>
            <w:vMerge/>
          </w:tcPr>
          <w:p w:rsidR="009A2D5F" w:rsidRPr="000C586E" w:rsidRDefault="009A2D5F" w:rsidP="00CB1997">
            <w:pPr>
              <w:spacing w:after="60"/>
              <w:rPr>
                <w:rFonts w:ascii="Ebrima" w:hAnsi="Ebrima"/>
                <w:sz w:val="20"/>
                <w:szCs w:val="20"/>
              </w:rPr>
            </w:pPr>
          </w:p>
        </w:tc>
        <w:tc>
          <w:tcPr>
            <w:tcW w:w="4796" w:type="dxa"/>
          </w:tcPr>
          <w:p w:rsidR="009A2D5F" w:rsidRPr="000C586E" w:rsidRDefault="009A2D5F" w:rsidP="00CB1997">
            <w:pPr>
              <w:rPr>
                <w:rFonts w:ascii="Ebrima" w:hAnsi="Ebrima"/>
                <w:sz w:val="20"/>
                <w:szCs w:val="20"/>
              </w:rPr>
            </w:pPr>
            <w:r w:rsidRPr="000C586E">
              <w:rPr>
                <w:rFonts w:ascii="Ebrima" w:hAnsi="Ebrima"/>
                <w:sz w:val="20"/>
                <w:szCs w:val="20"/>
              </w:rPr>
              <w:t>Detailed preparation using the pre-release materials</w:t>
            </w:r>
          </w:p>
        </w:tc>
        <w:tc>
          <w:tcPr>
            <w:tcW w:w="4701" w:type="dxa"/>
            <w:vMerge/>
          </w:tcPr>
          <w:p w:rsidR="009A2D5F" w:rsidRPr="000C586E" w:rsidRDefault="009A2D5F" w:rsidP="00CB1997">
            <w:pPr>
              <w:spacing w:after="60"/>
              <w:rPr>
                <w:rFonts w:ascii="Ebrima" w:hAnsi="Ebrima"/>
                <w:sz w:val="20"/>
                <w:szCs w:val="20"/>
              </w:rPr>
            </w:pPr>
          </w:p>
        </w:tc>
      </w:tr>
    </w:tbl>
    <w:p w:rsidR="002C2B1B" w:rsidRPr="000C586E" w:rsidRDefault="002C2B1B" w:rsidP="001C62E1">
      <w:pPr>
        <w:spacing w:afterLines="120" w:after="288"/>
        <w:rPr>
          <w:rFonts w:ascii="Ebrima" w:hAnsi="Ebrima"/>
          <w:sz w:val="20"/>
          <w:szCs w:val="20"/>
        </w:rPr>
      </w:pPr>
    </w:p>
    <w:sectPr w:rsidR="002C2B1B" w:rsidRPr="000C586E" w:rsidSect="00712CB4">
      <w:pgSz w:w="16838" w:h="11906" w:orient="landscape"/>
      <w:pgMar w:top="1440" w:right="1814" w:bottom="1440" w:left="1440"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A1F" w:rsidRDefault="00984A1F" w:rsidP="000634C2">
      <w:r>
        <w:separator/>
      </w:r>
    </w:p>
  </w:endnote>
  <w:endnote w:type="continuationSeparator" w:id="0">
    <w:p w:rsidR="00984A1F" w:rsidRDefault="00984A1F" w:rsidP="0006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Ebrima">
    <w:panose1 w:val="02000000000000000000"/>
    <w:charset w:val="00"/>
    <w:family w:val="auto"/>
    <w:pitch w:val="variable"/>
    <w:sig w:usb0="A000005F" w:usb1="0200004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50F" w:rsidRPr="0077750F" w:rsidRDefault="0077750F" w:rsidP="001B24CD">
    <w:pPr>
      <w:tabs>
        <w:tab w:val="right" w:pos="9026"/>
      </w:tabs>
      <w:jc w:val="right"/>
      <w:rPr>
        <w:rFonts w:ascii="Trebuchet MS" w:hAnsi="Trebuchet MS"/>
        <w:sz w:val="18"/>
        <w:szCs w:val="18"/>
      </w:rPr>
    </w:pPr>
    <w:r w:rsidRPr="0077750F">
      <w:rPr>
        <w:rFonts w:ascii="Trebuchet MS" w:hAnsi="Trebuchet MS"/>
        <w:sz w:val="18"/>
        <w:szCs w:val="18"/>
      </w:rPr>
      <w:t>© Cambridge University Press</w:t>
    </w:r>
    <w:r w:rsidR="001B24CD">
      <w:rPr>
        <w:rFonts w:ascii="Trebuchet MS" w:hAnsi="Trebuchet MS"/>
        <w:sz w:val="18"/>
        <w:szCs w:val="18"/>
      </w:rPr>
      <w:t xml:space="preserve"> 201</w:t>
    </w:r>
    <w:r w:rsidR="00047D37">
      <w:rPr>
        <w:rFonts w:ascii="Trebuchet MS" w:hAnsi="Trebuchet MS"/>
        <w:sz w:val="18"/>
        <w:szCs w:val="18"/>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A1F" w:rsidRDefault="00984A1F" w:rsidP="000634C2">
      <w:r>
        <w:separator/>
      </w:r>
    </w:p>
  </w:footnote>
  <w:footnote w:type="continuationSeparator" w:id="0">
    <w:p w:rsidR="00984A1F" w:rsidRDefault="00984A1F" w:rsidP="00063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4C2" w:rsidRDefault="000E58F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764370" o:spid="_x0000_s2050" type="#_x0000_t75" style="position:absolute;margin-left:0;margin-top:0;width:595.2pt;height:841.9pt;z-index:-251657216;mso-position-horizontal:center;mso-position-horizontal-relative:margin;mso-position-vertical:center;mso-position-vertical-relative:margin" o:allowincell="f">
          <v:imagedata r:id="rId1" o:title="watermark-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CD" w:rsidRDefault="0032588D" w:rsidP="0032588D">
    <w:pPr>
      <w:pStyle w:val="Header"/>
      <w:tabs>
        <w:tab w:val="clear" w:pos="4513"/>
        <w:tab w:val="clear" w:pos="9026"/>
        <w:tab w:val="left" w:pos="1701"/>
        <w:tab w:val="left" w:pos="7515"/>
      </w:tabs>
      <w:ind w:left="-1418"/>
      <w:jc w:val="right"/>
      <w:rPr>
        <w:rFonts w:ascii="Trebuchet MS" w:hAnsi="Trebuchet MS"/>
        <w:sz w:val="20"/>
        <w:szCs w:val="20"/>
      </w:rPr>
    </w:pPr>
    <w:r>
      <w:rPr>
        <w:noProof/>
        <w:sz w:val="20"/>
        <w:szCs w:val="20"/>
        <w:lang w:val="en-GB" w:eastAsia="en-GB"/>
      </w:rPr>
      <w:drawing>
        <wp:inline distT="0" distB="0" distL="0" distR="0">
          <wp:extent cx="7714442" cy="12572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
                  <pic:cNvPicPr/>
                </pic:nvPicPr>
                <pic:blipFill>
                  <a:blip r:embed="rId1">
                    <a:extLst>
                      <a:ext uri="{28A0092B-C50C-407E-A947-70E740481C1C}">
                        <a14:useLocalDpi xmlns:a14="http://schemas.microsoft.com/office/drawing/2010/main" val="0"/>
                      </a:ext>
                    </a:extLst>
                  </a:blip>
                  <a:stretch>
                    <a:fillRect/>
                  </a:stretch>
                </pic:blipFill>
                <pic:spPr>
                  <a:xfrm>
                    <a:off x="0" y="0"/>
                    <a:ext cx="7714442" cy="1257251"/>
                  </a:xfrm>
                  <a:prstGeom prst="rect">
                    <a:avLst/>
                  </a:prstGeom>
                </pic:spPr>
              </pic:pic>
            </a:graphicData>
          </a:graphic>
        </wp:inline>
      </w:drawing>
    </w:r>
  </w:p>
  <w:p w:rsidR="001B24CD" w:rsidRDefault="001B24CD" w:rsidP="00860F2B">
    <w:pPr>
      <w:pStyle w:val="Header"/>
      <w:tabs>
        <w:tab w:val="clear" w:pos="4513"/>
        <w:tab w:val="clear" w:pos="9026"/>
        <w:tab w:val="left" w:pos="1701"/>
        <w:tab w:val="left" w:pos="7515"/>
      </w:tabs>
      <w:jc w:val="right"/>
      <w:rPr>
        <w:rFonts w:ascii="Trebuchet MS" w:hAnsi="Trebuchet MS"/>
        <w:sz w:val="20"/>
        <w:szCs w:val="20"/>
      </w:rPr>
    </w:pPr>
  </w:p>
  <w:p w:rsidR="000634C2" w:rsidRPr="0077750F" w:rsidRDefault="000634C2" w:rsidP="00860F2B">
    <w:pPr>
      <w:pStyle w:val="Header"/>
      <w:tabs>
        <w:tab w:val="clear" w:pos="4513"/>
        <w:tab w:val="clear" w:pos="9026"/>
        <w:tab w:val="left" w:pos="1701"/>
        <w:tab w:val="left" w:pos="7515"/>
      </w:tabs>
      <w:jc w:val="right"/>
      <w:rPr>
        <w:rFonts w:ascii="Trebuchet MS" w:hAnsi="Trebuchet M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4C2" w:rsidRDefault="000E58F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764369" o:spid="_x0000_s2049" type="#_x0000_t75" style="position:absolute;margin-left:0;margin-top:0;width:595.2pt;height:841.9pt;z-index:-251658240;mso-position-horizontal:center;mso-position-horizontal-relative:margin;mso-position-vertical:center;mso-position-vertical-relative:margin" o:allowincell="f">
          <v:imagedata r:id="rId1" o:title="watermark-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53974"/>
    <w:multiLevelType w:val="hybridMultilevel"/>
    <w:tmpl w:val="907C8480"/>
    <w:lvl w:ilvl="0" w:tplc="7964745C">
      <w:numFmt w:val="bullet"/>
      <w:lvlText w:val="-"/>
      <w:lvlJc w:val="left"/>
      <w:pPr>
        <w:ind w:left="720" w:hanging="360"/>
      </w:pPr>
      <w:rPr>
        <w:rFonts w:ascii="Calibri" w:eastAsia="MS Mincho"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5034C"/>
    <w:multiLevelType w:val="hybridMultilevel"/>
    <w:tmpl w:val="329AC7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E421E"/>
    <w:multiLevelType w:val="hybridMultilevel"/>
    <w:tmpl w:val="9634EF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B00F05"/>
    <w:multiLevelType w:val="hybridMultilevel"/>
    <w:tmpl w:val="E856B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592F34"/>
    <w:multiLevelType w:val="hybridMultilevel"/>
    <w:tmpl w:val="28ACA27A"/>
    <w:lvl w:ilvl="0" w:tplc="7DE2A39C">
      <w:start w:val="1"/>
      <w:numFmt w:val="bullet"/>
      <w:pStyle w:val="Introbox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5" w15:restartNumberingAfterBreak="0">
    <w:nsid w:val="34CF239C"/>
    <w:multiLevelType w:val="hybridMultilevel"/>
    <w:tmpl w:val="A850A9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9A3A2A"/>
    <w:multiLevelType w:val="hybridMultilevel"/>
    <w:tmpl w:val="7BC6F3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C2A0A40"/>
    <w:multiLevelType w:val="hybridMultilevel"/>
    <w:tmpl w:val="D4460FDE"/>
    <w:lvl w:ilvl="0" w:tplc="9A4CE3E6">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BD85440"/>
    <w:multiLevelType w:val="hybridMultilevel"/>
    <w:tmpl w:val="653ADBFA"/>
    <w:lvl w:ilvl="0" w:tplc="7964745C">
      <w:numFmt w:val="bullet"/>
      <w:lvlText w:val="-"/>
      <w:lvlJc w:val="left"/>
      <w:pPr>
        <w:ind w:left="720" w:hanging="360"/>
      </w:pPr>
      <w:rPr>
        <w:rFonts w:ascii="Calibri" w:eastAsia="MS Mincho"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7"/>
  </w:num>
  <w:num w:numId="4">
    <w:abstractNumId w:val="3"/>
  </w:num>
  <w:num w:numId="5">
    <w:abstractNumId w:val="8"/>
  </w:num>
  <w:num w:numId="6">
    <w:abstractNumId w:val="1"/>
  </w:num>
  <w:num w:numId="7">
    <w:abstractNumId w:val="0"/>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0634C2"/>
    <w:rsid w:val="0000756A"/>
    <w:rsid w:val="00047D37"/>
    <w:rsid w:val="000634C2"/>
    <w:rsid w:val="000C586E"/>
    <w:rsid w:val="000D5280"/>
    <w:rsid w:val="000E0A63"/>
    <w:rsid w:val="000E58FB"/>
    <w:rsid w:val="00135BBF"/>
    <w:rsid w:val="0019395D"/>
    <w:rsid w:val="001B24CD"/>
    <w:rsid w:val="001C2100"/>
    <w:rsid w:val="001C62E1"/>
    <w:rsid w:val="002216A0"/>
    <w:rsid w:val="002256D8"/>
    <w:rsid w:val="00225DA7"/>
    <w:rsid w:val="002560D1"/>
    <w:rsid w:val="00271B52"/>
    <w:rsid w:val="0029367E"/>
    <w:rsid w:val="002B4896"/>
    <w:rsid w:val="002B4B86"/>
    <w:rsid w:val="002C2B1B"/>
    <w:rsid w:val="002D537C"/>
    <w:rsid w:val="002E2D99"/>
    <w:rsid w:val="002F5E9A"/>
    <w:rsid w:val="0032588D"/>
    <w:rsid w:val="003D4D5E"/>
    <w:rsid w:val="004034AB"/>
    <w:rsid w:val="00444A71"/>
    <w:rsid w:val="004A0595"/>
    <w:rsid w:val="004A137D"/>
    <w:rsid w:val="0051534F"/>
    <w:rsid w:val="00563385"/>
    <w:rsid w:val="005702E7"/>
    <w:rsid w:val="005760DB"/>
    <w:rsid w:val="00581371"/>
    <w:rsid w:val="005A3D59"/>
    <w:rsid w:val="005C0256"/>
    <w:rsid w:val="0063420F"/>
    <w:rsid w:val="006D05D5"/>
    <w:rsid w:val="006D5A88"/>
    <w:rsid w:val="006D6E57"/>
    <w:rsid w:val="00712CB4"/>
    <w:rsid w:val="0077750F"/>
    <w:rsid w:val="007778E6"/>
    <w:rsid w:val="00860F2B"/>
    <w:rsid w:val="0095396E"/>
    <w:rsid w:val="00984A1F"/>
    <w:rsid w:val="009A2D5F"/>
    <w:rsid w:val="009E73B2"/>
    <w:rsid w:val="00A60EA0"/>
    <w:rsid w:val="00AA1019"/>
    <w:rsid w:val="00AC4917"/>
    <w:rsid w:val="00B1589A"/>
    <w:rsid w:val="00B22174"/>
    <w:rsid w:val="00B53AD7"/>
    <w:rsid w:val="00CB1997"/>
    <w:rsid w:val="00CB2061"/>
    <w:rsid w:val="00CF0991"/>
    <w:rsid w:val="00CF6486"/>
    <w:rsid w:val="00DC5D27"/>
    <w:rsid w:val="00DD3D37"/>
    <w:rsid w:val="00DE7362"/>
    <w:rsid w:val="00E336AB"/>
    <w:rsid w:val="00E33D87"/>
    <w:rsid w:val="00E95594"/>
    <w:rsid w:val="00F83BEA"/>
    <w:rsid w:val="00FC6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5:docId w15:val="{E0BCCAB9-58E0-496C-AC10-457332580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4C2"/>
    <w:rPr>
      <w:rFonts w:ascii="Times" w:hAnsi="Times"/>
      <w:sz w:val="24"/>
      <w:szCs w:val="24"/>
      <w:lang w:val="en-US"/>
    </w:rPr>
  </w:style>
  <w:style w:type="paragraph" w:styleId="Heading1">
    <w:name w:val="heading 1"/>
    <w:aliases w:val="CUP,Unit header"/>
    <w:basedOn w:val="Normal"/>
    <w:link w:val="Heading1Char"/>
    <w:uiPriority w:val="9"/>
    <w:qFormat/>
    <w:rsid w:val="000634C2"/>
    <w:pPr>
      <w:keepNext/>
      <w:keepLines/>
      <w:spacing w:before="480" w:line="259" w:lineRule="auto"/>
      <w:outlineLvl w:val="0"/>
    </w:pPr>
    <w:rPr>
      <w:rFonts w:ascii="Trebuchet MS" w:eastAsia="MS Gothic" w:hAnsi="Trebuchet MS"/>
      <w:bCs/>
      <w:sz w:val="48"/>
      <w:szCs w:val="32"/>
      <w:lang w:val="en-GB"/>
    </w:rPr>
  </w:style>
  <w:style w:type="paragraph" w:styleId="Heading2">
    <w:name w:val="heading 2"/>
    <w:aliases w:val="Heading 2 CUP"/>
    <w:basedOn w:val="Normal"/>
    <w:link w:val="Heading2Char"/>
    <w:qFormat/>
    <w:rsid w:val="000634C2"/>
    <w:pPr>
      <w:outlineLvl w:val="1"/>
    </w:pPr>
    <w:rPr>
      <w:rFonts w:ascii="Trebuchet MS" w:hAnsi="Trebuchet MS"/>
      <w:b/>
      <w:sz w:val="40"/>
      <w:szCs w:val="20"/>
      <w:lang w:val="en-GB"/>
    </w:rPr>
  </w:style>
  <w:style w:type="paragraph" w:styleId="Heading3">
    <w:name w:val="heading 3"/>
    <w:basedOn w:val="Normal"/>
    <w:next w:val="Normal"/>
    <w:link w:val="Heading3Char"/>
    <w:uiPriority w:val="9"/>
    <w:qFormat/>
    <w:rsid w:val="000634C2"/>
    <w:pPr>
      <w:keepNext/>
      <w:keepLines/>
      <w:spacing w:before="200"/>
      <w:outlineLvl w:val="2"/>
    </w:pPr>
    <w:rPr>
      <w:rFonts w:ascii="Trebuchet MS" w:eastAsia="MS Gothic" w:hAnsi="Trebuchet MS"/>
      <w:b/>
      <w:bCs/>
      <w:color w:val="4F81BD"/>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4C2"/>
    <w:pPr>
      <w:tabs>
        <w:tab w:val="center" w:pos="4513"/>
        <w:tab w:val="right" w:pos="9026"/>
      </w:tabs>
    </w:pPr>
  </w:style>
  <w:style w:type="character" w:customStyle="1" w:styleId="HeaderChar">
    <w:name w:val="Header Char"/>
    <w:basedOn w:val="DefaultParagraphFont"/>
    <w:link w:val="Header"/>
    <w:uiPriority w:val="99"/>
    <w:rsid w:val="000634C2"/>
  </w:style>
  <w:style w:type="paragraph" w:styleId="Footer">
    <w:name w:val="footer"/>
    <w:basedOn w:val="Normal"/>
    <w:link w:val="FooterChar"/>
    <w:uiPriority w:val="99"/>
    <w:unhideWhenUsed/>
    <w:rsid w:val="000634C2"/>
    <w:pPr>
      <w:tabs>
        <w:tab w:val="center" w:pos="4513"/>
        <w:tab w:val="right" w:pos="9026"/>
      </w:tabs>
    </w:pPr>
  </w:style>
  <w:style w:type="character" w:customStyle="1" w:styleId="FooterChar">
    <w:name w:val="Footer Char"/>
    <w:basedOn w:val="DefaultParagraphFont"/>
    <w:link w:val="Footer"/>
    <w:uiPriority w:val="99"/>
    <w:rsid w:val="000634C2"/>
  </w:style>
  <w:style w:type="table" w:styleId="TableGrid">
    <w:name w:val="Table Grid"/>
    <w:basedOn w:val="TableNormal"/>
    <w:uiPriority w:val="59"/>
    <w:rsid w:val="00063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boxbullets">
    <w:name w:val="Intro box bullets"/>
    <w:basedOn w:val="Normal"/>
    <w:qFormat/>
    <w:rsid w:val="000634C2"/>
    <w:pPr>
      <w:numPr>
        <w:numId w:val="2"/>
      </w:numPr>
    </w:pPr>
    <w:rPr>
      <w:rFonts w:ascii="Trebuchet MS" w:hAnsi="Trebuchet MS"/>
    </w:rPr>
  </w:style>
  <w:style w:type="paragraph" w:customStyle="1" w:styleId="Tableheader">
    <w:name w:val="Table header"/>
    <w:basedOn w:val="Tabletext"/>
    <w:qFormat/>
    <w:rsid w:val="000634C2"/>
    <w:rPr>
      <w:rFonts w:ascii="Trebuchet MS" w:hAnsi="Trebuchet MS"/>
      <w:b/>
      <w:sz w:val="22"/>
    </w:rPr>
  </w:style>
  <w:style w:type="paragraph" w:customStyle="1" w:styleId="Tip">
    <w:name w:val="Tip"/>
    <w:basedOn w:val="Normal"/>
    <w:qFormat/>
    <w:rsid w:val="000634C2"/>
    <w:rPr>
      <w:rFonts w:ascii="Trebuchet MS" w:hAnsi="Trebuchet MS"/>
      <w:b/>
      <w:color w:val="C0504D"/>
    </w:rPr>
  </w:style>
  <w:style w:type="paragraph" w:customStyle="1" w:styleId="Tabletext">
    <w:name w:val="Table text"/>
    <w:basedOn w:val="Normal"/>
    <w:qFormat/>
    <w:rsid w:val="000634C2"/>
  </w:style>
  <w:style w:type="paragraph" w:customStyle="1" w:styleId="Workitout">
    <w:name w:val="Work it out"/>
    <w:basedOn w:val="Normal"/>
    <w:qFormat/>
    <w:rsid w:val="000634C2"/>
    <w:rPr>
      <w:rFonts w:ascii="Trebuchet MS" w:hAnsi="Trebuchet MS"/>
      <w:b/>
      <w:caps/>
      <w:color w:val="C0504D"/>
    </w:rPr>
  </w:style>
  <w:style w:type="character" w:customStyle="1" w:styleId="Heading1Char">
    <w:name w:val="Heading 1 Char"/>
    <w:aliases w:val="CUP Char,Unit header Char"/>
    <w:link w:val="Heading1"/>
    <w:uiPriority w:val="9"/>
    <w:rsid w:val="000634C2"/>
    <w:rPr>
      <w:rFonts w:ascii="Trebuchet MS" w:eastAsia="MS Gothic" w:hAnsi="Trebuchet MS"/>
      <w:bCs/>
      <w:sz w:val="48"/>
      <w:szCs w:val="32"/>
    </w:rPr>
  </w:style>
  <w:style w:type="character" w:customStyle="1" w:styleId="Heading2Char">
    <w:name w:val="Heading 2 Char"/>
    <w:aliases w:val="Heading 2 CUP Char"/>
    <w:link w:val="Heading2"/>
    <w:rsid w:val="000634C2"/>
    <w:rPr>
      <w:rFonts w:ascii="Trebuchet MS" w:hAnsi="Trebuchet MS"/>
      <w:b/>
      <w:sz w:val="40"/>
    </w:rPr>
  </w:style>
  <w:style w:type="character" w:customStyle="1" w:styleId="Heading3Char">
    <w:name w:val="Heading 3 Char"/>
    <w:link w:val="Heading3"/>
    <w:uiPriority w:val="9"/>
    <w:rsid w:val="000634C2"/>
    <w:rPr>
      <w:rFonts w:ascii="Trebuchet MS" w:eastAsia="MS Gothic" w:hAnsi="Trebuchet MS"/>
      <w:b/>
      <w:bCs/>
      <w:color w:val="4F81BD"/>
      <w:sz w:val="28"/>
    </w:rPr>
  </w:style>
  <w:style w:type="paragraph" w:styleId="Title">
    <w:name w:val="Title"/>
    <w:aliases w:val="Intro box"/>
    <w:basedOn w:val="Normal"/>
    <w:link w:val="TitleChar"/>
    <w:qFormat/>
    <w:rsid w:val="000634C2"/>
    <w:rPr>
      <w:rFonts w:ascii="Trebuchet MS" w:hAnsi="Trebuchet MS"/>
      <w:sz w:val="20"/>
      <w:szCs w:val="20"/>
      <w:lang w:val="en-GB"/>
    </w:rPr>
  </w:style>
  <w:style w:type="character" w:customStyle="1" w:styleId="TitleChar">
    <w:name w:val="Title Char"/>
    <w:aliases w:val="Intro box Char"/>
    <w:link w:val="Title"/>
    <w:rsid w:val="000634C2"/>
    <w:rPr>
      <w:rFonts w:ascii="Trebuchet MS" w:hAnsi="Trebuchet MS"/>
    </w:rPr>
  </w:style>
  <w:style w:type="paragraph" w:styleId="BalloonText">
    <w:name w:val="Balloon Text"/>
    <w:basedOn w:val="Normal"/>
    <w:link w:val="BalloonTextChar"/>
    <w:uiPriority w:val="99"/>
    <w:semiHidden/>
    <w:unhideWhenUsed/>
    <w:rsid w:val="001B24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24CD"/>
    <w:rPr>
      <w:rFonts w:ascii="Lucida Grande" w:hAnsi="Lucida Grande" w:cs="Lucida Grande"/>
      <w:sz w:val="18"/>
      <w:szCs w:val="18"/>
      <w:lang w:val="en-US"/>
    </w:rPr>
  </w:style>
  <w:style w:type="paragraph" w:styleId="ListParagraph">
    <w:name w:val="List Paragraph"/>
    <w:basedOn w:val="Normal"/>
    <w:uiPriority w:val="72"/>
    <w:qFormat/>
    <w:rsid w:val="002560D1"/>
    <w:pPr>
      <w:ind w:left="720"/>
      <w:contextualSpacing/>
    </w:pPr>
  </w:style>
  <w:style w:type="character" w:styleId="CommentReference">
    <w:name w:val="annotation reference"/>
    <w:basedOn w:val="DefaultParagraphFont"/>
    <w:uiPriority w:val="99"/>
    <w:semiHidden/>
    <w:unhideWhenUsed/>
    <w:rsid w:val="0095396E"/>
    <w:rPr>
      <w:sz w:val="16"/>
      <w:szCs w:val="16"/>
    </w:rPr>
  </w:style>
  <w:style w:type="paragraph" w:styleId="CommentText">
    <w:name w:val="annotation text"/>
    <w:basedOn w:val="Normal"/>
    <w:link w:val="CommentTextChar"/>
    <w:uiPriority w:val="99"/>
    <w:semiHidden/>
    <w:unhideWhenUsed/>
    <w:rsid w:val="0095396E"/>
    <w:rPr>
      <w:sz w:val="20"/>
      <w:szCs w:val="20"/>
    </w:rPr>
  </w:style>
  <w:style w:type="character" w:customStyle="1" w:styleId="CommentTextChar">
    <w:name w:val="Comment Text Char"/>
    <w:basedOn w:val="DefaultParagraphFont"/>
    <w:link w:val="CommentText"/>
    <w:uiPriority w:val="99"/>
    <w:semiHidden/>
    <w:rsid w:val="0095396E"/>
    <w:rPr>
      <w:rFonts w:ascii="Times" w:hAnsi="Times"/>
      <w:lang w:val="en-US"/>
    </w:rPr>
  </w:style>
  <w:style w:type="paragraph" w:styleId="CommentSubject">
    <w:name w:val="annotation subject"/>
    <w:basedOn w:val="CommentText"/>
    <w:next w:val="CommentText"/>
    <w:link w:val="CommentSubjectChar"/>
    <w:uiPriority w:val="99"/>
    <w:semiHidden/>
    <w:unhideWhenUsed/>
    <w:rsid w:val="00712CB4"/>
    <w:rPr>
      <w:b/>
      <w:bCs/>
    </w:rPr>
  </w:style>
  <w:style w:type="character" w:customStyle="1" w:styleId="CommentSubjectChar">
    <w:name w:val="Comment Subject Char"/>
    <w:basedOn w:val="CommentTextChar"/>
    <w:link w:val="CommentSubject"/>
    <w:uiPriority w:val="99"/>
    <w:semiHidden/>
    <w:rsid w:val="00712CB4"/>
    <w:rPr>
      <w:rFonts w:ascii="Times" w:hAnsi="Times"/>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 Radford</dc:creator>
  <cp:lastModifiedBy>Caroline Walton</cp:lastModifiedBy>
  <cp:revision>14</cp:revision>
  <cp:lastPrinted>2015-08-11T14:31:00Z</cp:lastPrinted>
  <dcterms:created xsi:type="dcterms:W3CDTF">2015-11-10T12:07:00Z</dcterms:created>
  <dcterms:modified xsi:type="dcterms:W3CDTF">2016-07-27T10:16:00Z</dcterms:modified>
</cp:coreProperties>
</file>